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ind w:hanging="1134"/>
        <w:jc w:val="left"/>
        <w:tabs>
          <w:tab w:val="center" w:pos="6657" w:leader="none"/>
          <w:tab w:val="right" w:pos="9354" w:leader="none"/>
        </w:tabs>
        <w:rPr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margin">
                  <wp:posOffset>2530475</wp:posOffset>
                </wp:positionH>
                <wp:positionV relativeFrom="paragraph">
                  <wp:posOffset>-241934</wp:posOffset>
                </wp:positionV>
                <wp:extent cx="676275" cy="94297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762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margin;margin-left:199.2pt;mso-position-horizontal:absolute;mso-position-vertical-relative:text;margin-top:-19.0pt;mso-position-vertical:absolute;width:53.2pt;height:74.2pt;mso-wrap-distance-left:9.0pt;mso-wrap-distance-top:0.0pt;mso-wrap-distance-right:9.0pt;mso-wrap-distance-bottom:0.0pt;" stroked="f">
                <v:path textboxrect="0,0,0,0"/>
                <v:imagedata r:id="rId9" o:title=""/>
              </v:shape>
            </w:pict>
          </mc:Fallback>
        </mc:AlternateContent>
      </w:r>
      <w:r>
        <w:rPr>
          <w:color w:val="000000"/>
          <w:sz w:val="28"/>
          <w:szCs w:val="28"/>
        </w:rPr>
      </w:r>
      <w:r/>
    </w:p>
    <w:tbl>
      <w:tblPr>
        <w:tblpPr w:horzAnchor="text" w:tblpXSpec="left" w:vertAnchor="text" w:tblpY="1" w:leftFromText="180" w:topFromText="0" w:rightFromText="180" w:bottomFromText="200"/>
        <w:tblW w:w="903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77"/>
        <w:gridCol w:w="1276"/>
        <w:gridCol w:w="368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77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color w:val="000000"/>
              </w:rPr>
              <w:t xml:space="preserve">Къэбэрдей-Балъкъэр Республикэм </w:t>
            </w:r>
            <w:r/>
          </w:p>
          <w:p>
            <w:pPr>
              <w:pStyle w:val="601"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color w:val="000000"/>
              </w:rPr>
              <w:t xml:space="preserve">цифровой зыужьыныгъэм и министерствэ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01"/>
              <w:ind w:left="138" w:firstLine="0"/>
              <w:rPr>
                <w:rFonts w:ascii="Times New Roman" w:hAnsi="Times New Roman" w:cs="Times New Roman"/>
                <w:color w:val="000000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color w:val="000000"/>
              </w:rPr>
              <w:t xml:space="preserve">Къабарты-Малкъар Республиканы</w:t>
            </w:r>
            <w:r/>
          </w:p>
          <w:p>
            <w:pPr>
              <w:pStyle w:val="601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color w:val="000000"/>
              </w:rPr>
              <w:t xml:space="preserve">цифровой  айныуну министерствосу</w:t>
            </w:r>
            <w:r/>
          </w:p>
          <w:p>
            <w:pPr>
              <w:pStyle w:val="601"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</w:r>
            <w:r/>
          </w:p>
        </w:tc>
      </w:tr>
    </w:tbl>
    <w:p>
      <w:pPr>
        <w:pStyle w:val="601"/>
        <w:ind w:firstLine="33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МИНИСТЕРСТВО</w:t>
      </w:r>
      <w:r/>
    </w:p>
    <w:p>
      <w:pPr>
        <w:pStyle w:val="601"/>
        <w:ind w:firstLine="33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ЦИФРОВОГО  РАЗВИТИЯ</w:t>
      </w:r>
      <w:r/>
    </w:p>
    <w:p>
      <w:pPr>
        <w:pStyle w:val="601"/>
        <w:ind w:firstLine="33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КАБАРДИНО-БАЛКАРСКОЙ РЕСПУБЛИКИ</w:t>
      </w:r>
      <w:r/>
    </w:p>
    <w:p>
      <w:pPr>
        <w:pStyle w:val="601"/>
        <w:ind w:firstLine="33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(Минцифра КБР)</w:t>
      </w:r>
      <w:r/>
    </w:p>
    <w:p>
      <w:pPr>
        <w:pStyle w:val="601"/>
        <w:ind w:firstLine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ПРИКАЗ</w:t>
      </w:r>
      <w:r/>
    </w:p>
    <w:p>
      <w:pPr>
        <w:pStyle w:val="601"/>
        <w:ind w:firstLine="3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609"/>
        <w:jc w:val="both"/>
        <w:tabs>
          <w:tab w:val="left" w:pos="414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«07» апреля 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№ 51-п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/>
    </w:p>
    <w:p>
      <w:pPr>
        <w:pStyle w:val="601"/>
        <w:ind w:firstLine="3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г. Нальчик</w:t>
      </w:r>
      <w:r/>
    </w:p>
    <w:p>
      <w:pPr>
        <w:pStyle w:val="601"/>
        <w:ind w:firstLine="33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</w:r>
      <w:r/>
    </w:p>
    <w:p>
      <w:pPr>
        <w:pStyle w:val="601"/>
        <w:ind w:firstLine="0"/>
        <w:jc w:val="center"/>
        <w:widowControl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 организации системы внутреннего обеспечения соответствия требованиям антимонопольного законодательства в </w:t>
      </w:r>
      <w:r>
        <w:rPr>
          <w:rFonts w:ascii="Times New Roman" w:hAnsi="Times New Roman" w:cs="Times New Roman"/>
          <w:b/>
          <w:sz w:val="28"/>
        </w:rPr>
      </w:r>
      <w:r/>
    </w:p>
    <w:p>
      <w:pPr>
        <w:pStyle w:val="601"/>
        <w:ind w:firstLine="0"/>
        <w:jc w:val="center"/>
        <w:widowControl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Министерстве цифрового</w:t>
      </w:r>
      <w:r>
        <w:rPr>
          <w:rFonts w:ascii="Times New Roman" w:hAnsi="Times New Roman" w:cs="Times New Roman"/>
          <w:b/>
          <w:sz w:val="28"/>
        </w:rPr>
        <w:t xml:space="preserve"> развития </w:t>
      </w:r>
      <w:r/>
    </w:p>
    <w:p>
      <w:pPr>
        <w:pStyle w:val="601"/>
        <w:ind w:firstLine="0"/>
        <w:jc w:val="center"/>
        <w:widowControl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Кабардино-Балкарско</w:t>
      </w:r>
      <w:r>
        <w:rPr>
          <w:rFonts w:ascii="Times New Roman" w:hAnsi="Times New Roman" w:cs="Times New Roman"/>
          <w:b/>
          <w:sz w:val="28"/>
        </w:rPr>
        <w:t xml:space="preserve">й Республики </w:t>
      </w:r>
      <w:r/>
    </w:p>
    <w:p>
      <w:pPr>
        <w:pStyle w:val="601"/>
        <w:ind w:firstLine="0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(антимонопольного комплаенса)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601"/>
        <w:ind w:firstLine="0"/>
        <w:jc w:val="center"/>
        <w:widowControl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Во исполнение </w:t>
      </w:r>
      <w:r>
        <w:rPr>
          <w:rFonts w:ascii="Calibri" w:hAnsi="Calibri" w:cs="Times New Roman"/>
          <w:sz w:val="28"/>
          <w:szCs w:val="28"/>
          <w:lang w:eastAsia="en-US"/>
        </w:rPr>
        <w:fldChar w:fldCharType="begin"/>
      </w:r>
      <w:r>
        <w:rPr>
          <w:rFonts w:ascii="Calibri" w:hAnsi="Calibri" w:cs="Times New Roman"/>
          <w:sz w:val="28"/>
          <w:szCs w:val="28"/>
          <w:lang w:eastAsia="en-US"/>
        </w:rPr>
        <w:instrText xml:space="preserve"> HYPERLINK "consultantplus://offline/ref=0718488DF95ED7FDDE48B8B76F52CDC2E48D439E80F2046D8B6FF21F8352FCF8462B9B205AA97A9F53F693F66ADF6CF911FC0F855E5E5616T516O" </w:instrText>
      </w:r>
      <w:r>
        <w:rPr>
          <w:rFonts w:ascii="Calibri" w:hAnsi="Calibri" w:cs="Times New Roman"/>
          <w:sz w:val="28"/>
          <w:szCs w:val="28"/>
          <w:lang w:eastAsia="en-US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Указа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Президента Российской Федера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ции от 21 декабря 2017 г. № 618 «Об основных направлениях государственной политики по развитию конкуренции» в соответствии с распоряжениями Правительства Российской Федерации от 18 октября 2018 г. </w:t>
      </w:r>
      <w:r>
        <w:rPr>
          <w:rFonts w:ascii="Calibri" w:hAnsi="Calibri" w:cs="Times New Roman"/>
          <w:sz w:val="28"/>
          <w:szCs w:val="28"/>
          <w:lang w:eastAsia="en-US"/>
        </w:rPr>
        <w:fldChar w:fldCharType="begin"/>
      </w:r>
      <w:r>
        <w:rPr>
          <w:rFonts w:ascii="Calibri" w:hAnsi="Calibri" w:cs="Times New Roman"/>
          <w:sz w:val="28"/>
          <w:szCs w:val="28"/>
          <w:lang w:eastAsia="en-US"/>
        </w:rPr>
        <w:instrText xml:space="preserve"> HYPERLINK "consultantplus://offline/ref=0718488DF95ED7FDD</w:instrText>
      </w:r>
      <w:r>
        <w:rPr>
          <w:rFonts w:ascii="Calibri" w:hAnsi="Calibri" w:cs="Times New Roman"/>
          <w:sz w:val="28"/>
          <w:szCs w:val="28"/>
          <w:lang w:eastAsia="en-US"/>
        </w:rPr>
        <w:instrText xml:space="preserve">E48B8B76F52CDC2E5854F9A81F0046D8B6FF21F8352FCF8462B9B205AA97B9F53F693F66ADF6CF911FC0F855E5E5616T516O" </w:instrText>
      </w:r>
      <w:r>
        <w:rPr>
          <w:rFonts w:ascii="Calibri" w:hAnsi="Calibri" w:cs="Times New Roman"/>
          <w:sz w:val="28"/>
          <w:szCs w:val="28"/>
          <w:lang w:eastAsia="en-US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№ 2258-р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приказываю: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Утвердить </w:t>
      </w:r>
      <w:r>
        <w:rPr>
          <w:rFonts w:ascii="Calibri" w:hAnsi="Calibri" w:cs="Times New Roman"/>
          <w:sz w:val="28"/>
          <w:szCs w:val="28"/>
          <w:lang w:eastAsia="en-US"/>
        </w:rPr>
        <w:fldChar w:fldCharType="begin"/>
      </w:r>
      <w:r>
        <w:rPr>
          <w:rFonts w:ascii="Calibri" w:hAnsi="Calibri" w:cs="Times New Roman"/>
          <w:sz w:val="28"/>
          <w:szCs w:val="28"/>
          <w:lang w:eastAsia="en-US"/>
        </w:rPr>
        <w:instrText xml:space="preserve"> HYPERLINK \l "Par21" </w:instrText>
      </w:r>
      <w:r>
        <w:rPr>
          <w:rFonts w:ascii="Calibri" w:hAnsi="Calibri" w:cs="Times New Roman"/>
          <w:sz w:val="28"/>
          <w:szCs w:val="28"/>
          <w:lang w:eastAsia="en-US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Положение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об организации системы внутреннего обеспечения соответствия требованиям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антимонопол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ьного законо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дательства в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Министерстве цифрового развития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Кабардино-Балкарской Республики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согласно приложению 1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  Утвердить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карту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комплаенс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-рисков согласно приложению 2.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3.   Утвердить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Дорож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ную карту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»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( план мероприятий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) по снижению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комплае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нс-рисков со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гласно прило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жению 3.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Определить сектор правового обеспечения уполномоченным подразделением, ответственным за организацию и функционирование системы внутреннего обеспечения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соответствия требованиям антимонопольного законодательства в Министерстве цифрово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го развития Кабардино-Балкарской Республики (далее - Министерство).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Определить Общественный совет при Министерстве цифрового развития Кабардино-Балкарской Республики колле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гиальным органом, осуществляющим оценку эффективности организации и функционирован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ия системы внутреннего обеспечения соответствия требованиям антимонопольного закон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одательства в Министерстве.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6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Руководителям структурных подразделений Министерства организо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вать работу в возглавляемых ими подразделениях в соответствии с </w:t>
      </w:r>
      <w:r>
        <w:rPr>
          <w:rFonts w:ascii="Calibri" w:hAnsi="Calibri" w:cs="Times New Roman"/>
          <w:sz w:val="28"/>
          <w:szCs w:val="28"/>
          <w:lang w:eastAsia="en-US"/>
        </w:rPr>
        <w:fldChar w:fldCharType="begin"/>
      </w:r>
      <w:r>
        <w:rPr>
          <w:rFonts w:ascii="Calibri" w:hAnsi="Calibri" w:cs="Times New Roman"/>
          <w:sz w:val="28"/>
          <w:szCs w:val="28"/>
          <w:lang w:eastAsia="en-US"/>
        </w:rPr>
        <w:instrText xml:space="preserve"> HYPERLINK \l "Pa</w:instrText>
      </w:r>
      <w:r>
        <w:rPr>
          <w:rFonts w:ascii="Calibri" w:hAnsi="Calibri" w:cs="Times New Roman"/>
          <w:sz w:val="28"/>
          <w:szCs w:val="28"/>
          <w:lang w:eastAsia="en-US"/>
        </w:rPr>
        <w:instrText xml:space="preserve">r21" </w:instrText>
      </w:r>
      <w:r>
        <w:rPr>
          <w:rFonts w:ascii="Calibri" w:hAnsi="Calibri" w:cs="Times New Roman"/>
          <w:sz w:val="28"/>
          <w:szCs w:val="28"/>
          <w:lang w:eastAsia="en-US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Положением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об организации системы внутреннего обеспечения соответствия требованиям антимонопольного законодательства в Министерстве, утвержденным настоящим приказом.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7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Отделу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обслуживания портала Правительства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Кабардино-Балкарской Республики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обеспе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чить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размещение настоящего приказа на официальном сайте Министерства в информационно-телекоммуникационной сети «Интернет» в течение 3 рабочих дней со дня принятия приказа.</w:t>
      </w:r>
      <w:r/>
    </w:p>
    <w:p>
      <w:pPr>
        <w:pStyle w:val="601"/>
        <w:ind w:firstLine="540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8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Контроль за исполнением настоящего приказа оставляю за собой.</w:t>
      </w:r>
      <w:r/>
    </w:p>
    <w:p>
      <w:pPr>
        <w:pStyle w:val="601"/>
        <w:ind w:firstLine="0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15"/>
        <w:gridCol w:w="471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              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  М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инистр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center"/>
              <w:widowControl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И.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Ашхотов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/>
          </w:p>
          <w:p>
            <w:pPr>
              <w:pStyle w:val="601"/>
              <w:ind w:firstLine="0"/>
              <w:widowControl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    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                             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widowControl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/>
          </w:p>
        </w:tc>
      </w:tr>
    </w:tbl>
    <w:p>
      <w:pPr>
        <w:pStyle w:val="601"/>
        <w:ind w:firstLine="0"/>
        <w:widowControl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/>
    </w:p>
    <w:p>
      <w:pPr>
        <w:pStyle w:val="601"/>
        <w:ind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left="-142"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left="-142"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left="-142"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left="-142"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left="-142"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left="-142"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left="-142"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left="-142"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left="-142"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left="-142"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left="-142"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left="-142"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left="-142"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left="-142" w:firstLine="0"/>
        <w:jc w:val="left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tbl>
      <w:tblPr>
        <w:tblW w:w="9606" w:type="dxa"/>
        <w:jc w:val="center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18"/>
        <w:gridCol w:w="2240"/>
        <w:gridCol w:w="3172"/>
        <w:gridCol w:w="176"/>
      </w:tblGrid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tabs>
                <w:tab w:val="left" w:pos="32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tabs>
                <w:tab w:val="left" w:pos="60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</w:t>
            </w:r>
            <w:r/>
          </w:p>
          <w:p>
            <w:pPr>
              <w:pStyle w:val="601"/>
              <w:ind w:firstLine="0"/>
              <w:jc w:val="left"/>
              <w:tabs>
                <w:tab w:val="left" w:pos="32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tabs>
                <w:tab w:val="left" w:pos="32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А.Р. Бозиев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01"/>
              <w:ind w:firstLine="0"/>
              <w:jc w:val="left"/>
              <w:widowControl/>
              <w:tabs>
                <w:tab w:val="left" w:pos="632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/>
          </w:p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tabs>
                <w:tab w:val="left" w:pos="32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правового обеспечения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 М.Бесланеева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01"/>
              <w:ind w:firstLine="0"/>
              <w:jc w:val="left"/>
              <w:widowControl/>
              <w:tabs>
                <w:tab w:val="left" w:pos="632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/>
          </w:p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РАССЫЛКА:</w:t>
            </w:r>
            <w:r/>
          </w:p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министра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Р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Бозиев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Помощник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60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М.Н. Канукоева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бухгалтерского учета и отчетности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Паштова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Сектор правового обеспечения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40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601"/>
              <w:ind w:firstLine="0"/>
              <w:jc w:val="right"/>
              <w:widowControl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r>
            <w:r/>
          </w:p>
          <w:p>
            <w:pPr>
              <w:pStyle w:val="601"/>
              <w:ind w:firstLine="0"/>
              <w:jc w:val="right"/>
              <w:widowControl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r>
            <w:r/>
          </w:p>
          <w:p>
            <w:pPr>
              <w:pStyle w:val="601"/>
              <w:ind w:firstLine="0"/>
              <w:jc w:val="right"/>
              <w:widowControl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r>
            <w:r/>
          </w:p>
          <w:p>
            <w:pPr>
              <w:pStyle w:val="601"/>
              <w:ind w:firstLine="0"/>
              <w:jc w:val="right"/>
              <w:widowControl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r>
            <w:r/>
          </w:p>
          <w:p>
            <w:pPr>
              <w:pStyle w:val="601"/>
              <w:ind w:firstLine="0"/>
              <w:jc w:val="right"/>
              <w:widowControl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r>
            <w:r/>
          </w:p>
          <w:p>
            <w:pPr>
              <w:pStyle w:val="601"/>
              <w:ind w:firstLine="0"/>
              <w:jc w:val="right"/>
              <w:widowControl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r>
            <w:r/>
          </w:p>
          <w:p>
            <w:pPr>
              <w:pStyle w:val="601"/>
              <w:ind w:firstLine="0"/>
              <w:jc w:val="right"/>
              <w:widowControl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r>
            <w:r/>
          </w:p>
          <w:p>
            <w:pPr>
              <w:pStyle w:val="601"/>
              <w:ind w:firstLine="0"/>
              <w:jc w:val="right"/>
              <w:widowControl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r>
            <w:r/>
          </w:p>
          <w:p>
            <w:pPr>
              <w:pStyle w:val="601"/>
              <w:ind w:firstLine="0"/>
              <w:jc w:val="right"/>
              <w:widowControl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r>
            <w:r/>
          </w:p>
          <w:p>
            <w:pPr>
              <w:pStyle w:val="601"/>
              <w:ind w:firstLine="0"/>
              <w:jc w:val="right"/>
              <w:widowControl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r>
            <w:r/>
          </w:p>
          <w:p>
            <w:pPr>
              <w:pStyle w:val="601"/>
              <w:ind w:firstLine="0"/>
              <w:jc w:val="right"/>
              <w:widowControl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r>
            <w:r/>
          </w:p>
          <w:p>
            <w:pPr>
              <w:pStyle w:val="601"/>
              <w:ind w:firstLine="0"/>
              <w:jc w:val="right"/>
              <w:widowControl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r>
            <w:r/>
          </w:p>
          <w:p>
            <w:pPr>
              <w:pStyle w:val="601"/>
              <w:ind w:firstLine="0"/>
              <w:jc w:val="right"/>
              <w:widowControl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r>
            <w:r/>
          </w:p>
          <w:p>
            <w:pPr>
              <w:pStyle w:val="601"/>
              <w:ind w:firstLine="0"/>
              <w:jc w:val="right"/>
              <w:widowControl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r>
            <w:r/>
          </w:p>
          <w:p>
            <w:pPr>
              <w:pStyle w:val="601"/>
              <w:ind w:firstLine="0"/>
              <w:jc w:val="right"/>
              <w:widowControl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Приложение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r>
            <w:r/>
          </w:p>
          <w:p>
            <w:pPr>
              <w:pStyle w:val="601"/>
              <w:ind w:firstLine="0"/>
              <w:jc w:val="right"/>
              <w:widowControl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к приказу Министерства цифрового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r>
            <w:r/>
          </w:p>
          <w:p>
            <w:pPr>
              <w:pStyle w:val="601"/>
              <w:ind w:firstLine="0"/>
              <w:jc w:val="right"/>
              <w:widowControl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развития КБР</w:t>
            </w:r>
            <w:r/>
          </w:p>
          <w:p>
            <w:pPr>
              <w:pStyle w:val="601"/>
              <w:ind w:firstLine="0"/>
              <w:jc w:val="right"/>
              <w:widowControl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от «07» апреля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г. №51-п </w:t>
            </w:r>
            <w:r/>
          </w:p>
          <w:p>
            <w:pPr>
              <w:pStyle w:val="601"/>
              <w:ind w:firstLine="0"/>
              <w:jc w:val="right"/>
              <w:widowControl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r>
            <w:r/>
          </w:p>
        </w:tc>
      </w:tr>
    </w:tbl>
    <w:p>
      <w:pPr>
        <w:pStyle w:val="601"/>
        <w:ind w:firstLine="0"/>
        <w:jc w:val="center"/>
        <w:widowControl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/>
      <w:bookmarkStart w:id="0" w:name="Par21"/>
      <w:r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Положение</w:t>
      </w:r>
      <w:r/>
    </w:p>
    <w:p>
      <w:pPr>
        <w:pStyle w:val="601"/>
        <w:ind w:firstLine="0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601"/>
        <w:ind w:firstLine="0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Министерстве цифрового развития</w:t>
      </w:r>
      <w:r/>
    </w:p>
    <w:p>
      <w:pPr>
        <w:pStyle w:val="601"/>
        <w:ind w:firstLine="0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Кабардино-Б</w:t>
      </w:r>
      <w:r>
        <w:rPr>
          <w:rFonts w:ascii="Times New Roman" w:hAnsi="Times New Roman" w:cs="Times New Roman"/>
          <w:b/>
          <w:sz w:val="28"/>
          <w:szCs w:val="28"/>
        </w:rPr>
        <w:t xml:space="preserve">алкарской Республики</w:t>
      </w:r>
      <w:r/>
    </w:p>
    <w:p>
      <w:pPr>
        <w:pStyle w:val="601"/>
        <w:ind w:firstLine="0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(антимонопольного комплаенса)</w:t>
      </w:r>
      <w:r/>
    </w:p>
    <w:p>
      <w:pPr>
        <w:pStyle w:val="601"/>
        <w:ind w:firstLine="0"/>
        <w:jc w:val="center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  <w:outlineLvl w:val="1"/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1. Общие положения</w:t>
      </w:r>
      <w:r/>
    </w:p>
    <w:p>
      <w:pPr>
        <w:pStyle w:val="601"/>
        <w:ind w:firstLine="0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540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1.1. Наст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оящее Пол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ожение разработано во исполнение </w:t>
      </w:r>
      <w:r>
        <w:rPr>
          <w:rFonts w:ascii="Calibri" w:hAnsi="Calibri" w:cs="Times New Roman"/>
          <w:sz w:val="28"/>
          <w:szCs w:val="28"/>
          <w:lang w:eastAsia="en-US"/>
        </w:rPr>
        <w:fldChar w:fldCharType="begin"/>
      </w:r>
      <w:r>
        <w:rPr>
          <w:rFonts w:ascii="Calibri" w:hAnsi="Calibri" w:cs="Times New Roman"/>
          <w:sz w:val="28"/>
          <w:szCs w:val="28"/>
          <w:lang w:eastAsia="en-US"/>
        </w:rPr>
        <w:instrText xml:space="preserve"> HYPERLINK "consultantplus://offline/ref=0718488DF95ED7FDDE48B8B76F52CDC2E48D439E80F2046D8B6FF21F8352FCF8542BC32C5BA1659F54E3C5A72FT8</w:instrText>
      </w:r>
      <w:r>
        <w:rPr>
          <w:rFonts w:ascii="Calibri" w:hAnsi="Calibri" w:cs="Times New Roman"/>
          <w:sz w:val="28"/>
          <w:szCs w:val="28"/>
          <w:lang w:eastAsia="en-US"/>
        </w:rPr>
        <w:instrText xml:space="preserve">13O" </w:instrText>
      </w:r>
      <w:r>
        <w:rPr>
          <w:rFonts w:ascii="Calibri" w:hAnsi="Calibri" w:cs="Times New Roman"/>
          <w:sz w:val="28"/>
          <w:szCs w:val="28"/>
          <w:lang w:eastAsia="en-US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Указа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Президента Российской Федерации от 21 декабря 2017 г. № 618 «Об осн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овных направлениях государственной политики по развитию конкуренции»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в соответствии с распоряжением Правительства Российской Федерации от 18 октября 2018 г. </w:t>
      </w:r>
      <w:r>
        <w:rPr>
          <w:rFonts w:ascii="Calibri" w:hAnsi="Calibri" w:cs="Times New Roman"/>
          <w:sz w:val="28"/>
          <w:szCs w:val="28"/>
          <w:lang w:eastAsia="en-US"/>
        </w:rPr>
        <w:fldChar w:fldCharType="begin"/>
      </w:r>
      <w:r>
        <w:rPr>
          <w:rFonts w:ascii="Calibri" w:hAnsi="Calibri" w:cs="Times New Roman"/>
          <w:sz w:val="28"/>
          <w:szCs w:val="28"/>
          <w:lang w:eastAsia="en-US"/>
        </w:rPr>
        <w:instrText xml:space="preserve"> HYPERLINK "consu</w:instrText>
      </w:r>
      <w:r>
        <w:rPr>
          <w:rFonts w:ascii="Calibri" w:hAnsi="Calibri" w:cs="Times New Roman"/>
          <w:sz w:val="28"/>
          <w:szCs w:val="28"/>
          <w:lang w:eastAsia="en-US"/>
        </w:rPr>
        <w:instrText xml:space="preserve">ltantplus://offline/ref=0718488DF95ED7FDDE48B8B76F52CDC2E5854F9A81F0046D8B6FF21F</w:instrText>
      </w:r>
      <w:r>
        <w:rPr>
          <w:rFonts w:ascii="Calibri" w:hAnsi="Calibri" w:cs="Times New Roman"/>
          <w:sz w:val="28"/>
          <w:szCs w:val="28"/>
          <w:lang w:eastAsia="en-US"/>
        </w:rPr>
        <w:instrText xml:space="preserve">8352FCF8542BC32C5BA1659F54E3C5A72FT813O" </w:instrText>
      </w:r>
      <w:r>
        <w:rPr>
          <w:rFonts w:ascii="Calibri" w:hAnsi="Calibri" w:cs="Times New Roman"/>
          <w:sz w:val="28"/>
          <w:szCs w:val="28"/>
          <w:lang w:eastAsia="en-US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№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2258-р и определяет порядок внутреннего обеспечения соответствия требованиям антимонопольного законодательства в Министерстве цифро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вого развития Кабардино-Балкарской Республики (далее соответственно - антимонопо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льный комплаенс, Министерство).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1.2. Для целей Положения используются следующие понятия: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«антимонопольное законодательство» - законодательство, основывающееся на </w:t>
      </w:r>
      <w:r>
        <w:rPr>
          <w:rFonts w:ascii="Calibri" w:hAnsi="Calibri" w:cs="Times New Roman"/>
          <w:sz w:val="28"/>
          <w:szCs w:val="28"/>
          <w:lang w:eastAsia="en-US"/>
        </w:rPr>
        <w:fldChar w:fldCharType="begin"/>
      </w:r>
      <w:r>
        <w:rPr>
          <w:rFonts w:ascii="Calibri" w:hAnsi="Calibri" w:cs="Times New Roman"/>
          <w:sz w:val="28"/>
          <w:szCs w:val="28"/>
          <w:lang w:eastAsia="en-US"/>
        </w:rPr>
        <w:instrText xml:space="preserve"> HYPERLINK "c</w:instrText>
      </w:r>
      <w:r>
        <w:rPr>
          <w:rFonts w:ascii="Calibri" w:hAnsi="Calibri" w:cs="Times New Roman"/>
          <w:sz w:val="28"/>
          <w:szCs w:val="28"/>
          <w:lang w:eastAsia="en-US"/>
        </w:rPr>
        <w:instrText xml:space="preserve">onsultantplus://offline/ref=0718488DF95ED7FDDE48B8B76F52CDC2E48D419C82A2536FDA3A</w:instrText>
      </w:r>
      <w:r>
        <w:rPr>
          <w:rFonts w:ascii="Calibri" w:hAnsi="Calibri" w:cs="Times New Roman"/>
          <w:sz w:val="28"/>
          <w:szCs w:val="28"/>
          <w:lang w:eastAsia="en-US"/>
        </w:rPr>
        <w:instrText xml:space="preserve">FC1A8B02A6E85062972944A9798154FDC6TA1EO" </w:instrText>
      </w:r>
      <w:r>
        <w:rPr>
          <w:rFonts w:ascii="Calibri" w:hAnsi="Calibri" w:cs="Times New Roman"/>
          <w:sz w:val="28"/>
          <w:szCs w:val="28"/>
          <w:lang w:eastAsia="en-US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Конституции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Российской Федерации, Гражданском </w:t>
      </w:r>
      <w:r>
        <w:rPr>
          <w:rFonts w:ascii="Calibri" w:hAnsi="Calibri" w:cs="Times New Roman"/>
          <w:sz w:val="28"/>
          <w:szCs w:val="28"/>
          <w:lang w:eastAsia="en-US"/>
        </w:rPr>
        <w:fldChar w:fldCharType="begin"/>
      </w:r>
      <w:r>
        <w:rPr>
          <w:rFonts w:ascii="Calibri" w:hAnsi="Calibri" w:cs="Times New Roman"/>
          <w:sz w:val="28"/>
          <w:szCs w:val="28"/>
          <w:lang w:eastAsia="en-US"/>
        </w:rPr>
        <w:instrText xml:space="preserve"> HYPERLINK "consultantplus://offline/ref=0718488DF95ED7FDDE48B8B76F52CDC2E58546918BF60</w:instrText>
      </w:r>
      <w:r>
        <w:rPr>
          <w:rFonts w:ascii="Calibri" w:hAnsi="Calibri" w:cs="Times New Roman"/>
          <w:sz w:val="28"/>
          <w:szCs w:val="28"/>
          <w:lang w:eastAsia="en-US"/>
        </w:rPr>
        <w:instrText xml:space="preserve">46D8B6FF21F8352FCF8542BC32C5BA1659F54E3C5A72FT813O" </w:instrText>
      </w:r>
      <w:r>
        <w:rPr>
          <w:rFonts w:ascii="Calibri" w:hAnsi="Calibri" w:cs="Times New Roman"/>
          <w:sz w:val="28"/>
          <w:szCs w:val="28"/>
          <w:lang w:eastAsia="en-US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кодексе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Российской Федерац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ии и состоящее из Ф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едерального </w:t>
      </w:r>
      <w:r>
        <w:rPr>
          <w:rFonts w:ascii="Calibri" w:hAnsi="Calibri" w:cs="Times New Roman"/>
          <w:sz w:val="28"/>
          <w:szCs w:val="28"/>
          <w:lang w:eastAsia="en-US"/>
        </w:rPr>
        <w:fldChar w:fldCharType="begin"/>
      </w:r>
      <w:r>
        <w:rPr>
          <w:rFonts w:ascii="Calibri" w:hAnsi="Calibri" w:cs="Times New Roman"/>
          <w:sz w:val="28"/>
          <w:szCs w:val="28"/>
          <w:lang w:eastAsia="en-US"/>
        </w:rPr>
        <w:instrText xml:space="preserve"> HYPERLINK "consultantplus://offline/ref=0718488DF95ED7FDDE48B8B76F52CDC2E584439981F3046D8B6FF21F8352FCF8542BC32C5BA1659F54E3C5A72FT813O" </w:instrText>
      </w:r>
      <w:r>
        <w:rPr>
          <w:rFonts w:ascii="Calibri" w:hAnsi="Calibri" w:cs="Times New Roman"/>
          <w:sz w:val="28"/>
          <w:szCs w:val="28"/>
          <w:lang w:eastAsia="en-US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закон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«О защите конкуренции», иных федеральных законов, регулирующих отношения, свя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занные с защитой конкуренции, в том числе с предупреждением и пресечением моно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полистической деятельности и недобросовестной конкуренции, в которых участвуют федеральные органы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исполнительной власти, органы государственной власти субъектов Российской Федера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ции, органы местного самоуправления, иные осуществляющие функции указанных орган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ов организации, а также государственные внебюджетные фонды, Центральный банк Российской Федераци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и, российские юридические лица и иностранные юридические лица, физические лица,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том числе индивидуальные предприниматели;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«антимонопольный комплаенс» - совокупность правовых и организационных мер, направленных на соблюдение требований антимонопольного за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конодательства и предупреждение его нарушения;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«антимонопольный орган» - федерал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ьный антимонопольный орган и его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территориальные органы;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«доклад об антимонопольном комплаенсе» - документ, содержащий информацию об организации и функционировании антимонополь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ного комплаенса в Министерстве;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«коллегиальный орган» - совещательный орган, осу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ществляющий оценку эффективности антимонопольног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 комплаенса;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«нарушение антимонопольного законодательства» - недопущение, ограничение, устранение конкуренции;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«риски нарушения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антимонопольного законодательства» - сочетание вероятности и последствий наступ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ления неблагоприятных событий в виде ограничения, устранения или недопущения кон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куренции;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«уполномоченное подразделение» - подразделение Министерства, осуществляющее внедрение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 контроль за исполнением в Министерстве антимонопольного комплаенса.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1.3. Цели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антимонопо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льного комплаенса: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а) обеспечение соответствия деятельности Министерства требованиям антимонопольного законодательства;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б) профилактика нарушения требований антимоноп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ольного законодательства в деятельности Министерства.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1.4. Задачи антимонопольно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го комплаенса: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а) выявление рисков нарушений антимонопольного законодательства;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б) управление рисками нарушения антимонопольного законодательства;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в) контроль соответствия деят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ельности Министерства требованиям антимонопольного законодательства;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г) оценка э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ффективност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 функционирования в Министерстве антимонопольного комплаенса.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1.5. Принципы антимонопольного комплаенса: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а) заинтересованность руководства Министерства в эффективно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сти функционирования антимонопольного комплаенса;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б) регулярность оценки рисков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нарушения антимонопольного зак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онодательства;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в) обеспечение информационной открытости функционирования в Министерстве антимонопольного комплаенса;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г) непрерывность функциониров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ания антимонопольного комплаенса в Министерстве;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д) совершенствование антимонопо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льного комплаенса.</w:t>
      </w:r>
      <w:r/>
    </w:p>
    <w:p>
      <w:pPr>
        <w:pStyle w:val="601"/>
        <w:ind w:firstLine="709"/>
        <w:jc w:val="center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  <w:outlineLvl w:val="1"/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709"/>
        <w:jc w:val="center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  <w:outlineLvl w:val="1"/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 Организация антимонопольного комплаенса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2.1. Общий контроль организации антимонопольного комплаенса и обеспечения его функционирования осуществляется за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местителе Председателя Правительства КБР - министром инфраструктуры и цифрового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развития Кабардино-Балкарской Республики (далее - Министр), который: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а) вводит в действие акт об антимонопольном комплаенсе, вносит в него изменения, а также принимает внутренн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ие документы, регламентирующие реализацию антимонопольного комплаенса;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б) примен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яет преду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смотренные законодательством Российской Федерации меры ответственности за нарушение служащими Министерства правил антимонопольного комплаенса;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в) рассматривает материа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лы, отчеты и результаты периодических оценок эффективности функционирования анти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монопольного комплаенса и принимает меры, направленные на устранение выявленных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недостатков;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г) осуществляет контроль за устранением выявленных недостатков антимонопольного ком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плаенса.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2.2. Функции уполномоченного подразделения, связанные с организацией и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функционированием антимонопольного комплаенса, возлагаются на сектор пр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авового обеспечения.</w:t>
      </w:r>
      <w:r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2.3. К компетенции уполномоченного подразделения относятся следующие функции:</w:t>
      </w:r>
      <w:r/>
    </w:p>
    <w:p>
      <w:pPr>
        <w:pStyle w:val="60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</w:t>
      </w:r>
      <w:r>
        <w:rPr>
          <w:rFonts w:ascii="Times New Roman" w:hAnsi="Times New Roman" w:cs="Times New Roman"/>
          <w:sz w:val="28"/>
          <w:szCs w:val="28"/>
        </w:rPr>
        <w:t xml:space="preserve">дготовка и представление Министру акта об антимонопольном комплаенсе (внесении и</w:t>
      </w:r>
      <w:r>
        <w:rPr>
          <w:rFonts w:ascii="Times New Roman" w:hAnsi="Times New Roman" w:cs="Times New Roman"/>
          <w:sz w:val="28"/>
          <w:szCs w:val="28"/>
        </w:rPr>
        <w:t xml:space="preserve">зменений в антимонопольный комплаенс), а также внутриведомственных документов Ми</w:t>
      </w:r>
      <w:r>
        <w:rPr>
          <w:rFonts w:ascii="Times New Roman" w:hAnsi="Times New Roman" w:cs="Times New Roman"/>
          <w:sz w:val="28"/>
          <w:szCs w:val="28"/>
        </w:rPr>
        <w:t xml:space="preserve">нистерства, регламентирующих процедуры антимонопольного комплаенса;</w:t>
      </w:r>
      <w:r/>
    </w:p>
    <w:p>
      <w:pPr>
        <w:pStyle w:val="60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выявление рисков нарушени</w:t>
      </w:r>
      <w:r>
        <w:rPr>
          <w:rFonts w:ascii="Times New Roman" w:hAnsi="Times New Roman" w:cs="Times New Roman"/>
          <w:sz w:val="28"/>
          <w:szCs w:val="28"/>
        </w:rPr>
        <w:t xml:space="preserve">я антимонопольного законодательства, учет обстоятельств, связанных с рисками нар</w:t>
      </w:r>
      <w:r>
        <w:rPr>
          <w:rFonts w:ascii="Times New Roman" w:hAnsi="Times New Roman" w:cs="Times New Roman"/>
          <w:sz w:val="28"/>
          <w:szCs w:val="28"/>
        </w:rPr>
        <w:t xml:space="preserve">ушения антимонопольного законодательства, определение вероятности возникновения </w:t>
      </w:r>
      <w:r>
        <w:rPr>
          <w:rFonts w:ascii="Times New Roman" w:hAnsi="Times New Roman" w:cs="Times New Roman"/>
          <w:sz w:val="28"/>
          <w:szCs w:val="28"/>
        </w:rPr>
        <w:t xml:space="preserve">рисков нарушения антимонопольного законодательства;</w:t>
      </w:r>
      <w:r/>
    </w:p>
    <w:p>
      <w:pPr>
        <w:pStyle w:val="60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выявление конфликта интересов в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 служащих и структурных подразделений Министерства разработка предложений по </w:t>
      </w:r>
      <w:r>
        <w:rPr>
          <w:rFonts w:ascii="Times New Roman" w:hAnsi="Times New Roman" w:cs="Times New Roman"/>
          <w:sz w:val="28"/>
          <w:szCs w:val="28"/>
        </w:rPr>
        <w:t xml:space="preserve">их исключению;</w:t>
      </w:r>
      <w:r/>
    </w:p>
    <w:p>
      <w:pPr>
        <w:pStyle w:val="60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консультирование служащих Министерства по вопросам, связанным с соблюдением антимонопольного законодательства и антимонопольным комплаенсом;</w:t>
      </w:r>
      <w:r/>
    </w:p>
    <w:p>
      <w:pPr>
        <w:pStyle w:val="60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организация вз</w:t>
      </w:r>
      <w:r>
        <w:rPr>
          <w:rFonts w:ascii="Times New Roman" w:hAnsi="Times New Roman" w:cs="Times New Roman"/>
          <w:sz w:val="28"/>
          <w:szCs w:val="28"/>
        </w:rPr>
        <w:t xml:space="preserve">аимодействия с другими структурными подразделениями Министерства по вопросам, св</w:t>
      </w:r>
      <w:r>
        <w:rPr>
          <w:rFonts w:ascii="Times New Roman" w:hAnsi="Times New Roman" w:cs="Times New Roman"/>
          <w:sz w:val="28"/>
          <w:szCs w:val="28"/>
        </w:rPr>
        <w:t xml:space="preserve">язанным с антимонопольным комплаенсом;</w:t>
      </w:r>
      <w:r/>
    </w:p>
    <w:p>
      <w:pPr>
        <w:pStyle w:val="60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разработка процедуры внутреннего расследования, связанного с функционированием антимонопольного комплаенса;</w:t>
      </w:r>
      <w:r/>
    </w:p>
    <w:p>
      <w:pPr>
        <w:pStyle w:val="60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организация внутренних </w:t>
      </w:r>
      <w:r>
        <w:rPr>
          <w:rFonts w:ascii="Times New Roman" w:hAnsi="Times New Roman" w:cs="Times New Roman"/>
          <w:sz w:val="28"/>
          <w:szCs w:val="28"/>
        </w:rPr>
        <w:t xml:space="preserve">расследований, связанных с функционированием антимонопольного комплаенса, и учас</w:t>
      </w:r>
      <w:r>
        <w:rPr>
          <w:rFonts w:ascii="Times New Roman" w:hAnsi="Times New Roman" w:cs="Times New Roman"/>
          <w:sz w:val="28"/>
          <w:szCs w:val="28"/>
        </w:rPr>
        <w:t xml:space="preserve">тие в них;</w:t>
      </w:r>
      <w:r/>
    </w:p>
    <w:p>
      <w:pPr>
        <w:pStyle w:val="60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взаимодействие с антимонопольным органом и организация содействия ему в части, касающейся вопросов, связанных с проводимыми проверками;</w:t>
      </w:r>
      <w:r/>
    </w:p>
    <w:p>
      <w:pPr>
        <w:pStyle w:val="60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и) взаимодействие с коллег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иальным органом - Общественным советом при Министерстве инфраструктуры и цифрово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го развития (далее - Общественный совет);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информирование руководителя Министерства о внутренних документах, которые могут повлечь нарушение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0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иные функции, связанные с функционированием антимонопольного комплаенса.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4. Функции коллегиального органа, осуществляющего оценку эффективности организации и функционирования антимонопольного комплаенса возлагаются на Общественный совет.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2.5. К функ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циям коллегиального органа (Общественного совета) относятся: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а) рассмотрение и 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ценка мероприятий М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инистерства в части, касающейся функционирования антимонопольного комплаенса;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б) рассмотрение и утверждение доклада об антимонопольном комплаенсе.</w:t>
      </w:r>
      <w:r/>
    </w:p>
    <w:p>
      <w:pPr>
        <w:pStyle w:val="601"/>
        <w:ind w:firstLine="709"/>
        <w:jc w:val="center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  <w:outlineLvl w:val="1"/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3. Выявлен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ие и оценка рисков нарушения</w:t>
      </w:r>
      <w:r/>
    </w:p>
    <w:p>
      <w:pPr>
        <w:pStyle w:val="601"/>
        <w:ind w:firstLine="709"/>
        <w:jc w:val="center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антимонопольного законодательства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3.1. В целях выя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вления рисков на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рушения антимонопольного законодательства структурными подразделениями Министерства в части своей компетенции на регулярной основе проводятся следующие мероприя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тия и результаты их реализации для обобщения и контроля направляются в сектор пр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авового обеспечения в срок не позднее 1 февраля года, следующего за отчетным: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а) анализ выявленных нарушений антимонопольного законодательства в деятельности Министерства за пр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едыдущие 3 года (наличие предостережений, предупреждений, штрафов, жалоб, возбуж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денных дел);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б) анализ нормативных правовых актов Министерства;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в) анализ проектов нормативных правовых актов Министерства;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г) мониторинг и анализ практики применения Министерс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твом антимонопольного законодательства;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д) проведение систематической оценки эфф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ективности разработанных и реализуемых м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ероприятий по снижению рисков нарушения антимонопольного законодательства.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3.2. При проведении (не реже одного раза в год) структурными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подразделениями Министерства в части своей компетенции анализа выявленных наруше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ний антимонопольного законодательства за предыдущие 3 года (наличие предостереже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ний, предупреждений, штрафов, жалоб, возбужденных дел) должны реализовываться следующие мероприя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тия, а результаты их реализации для обобщения и контроля направляться в сектор п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равового обеспечения: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а) осуществление сбора сведений о наличии нарушений антимонопольного законодательства;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б) составление перечня нарушений антимонопольного законодательства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Министерстве, который содержит классифицированные по сферам деятельности Минис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терства сведения о выявленных за последние 3 года нарушениях антимонопольного за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конодательства (отдельно по каждому нарушению) и информацию о нарушении (указание нарушенной нор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мы антимонопольного законодательства, краткое изложение сути нарушения, указание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последствий нарушения антимонопольного законодательства и результата рассмотрен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ия нарушения антимонопольным органом), позицию антимонопольного органа, сведения о мерах по устр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анению нарушения, а также о мерах, направленных Министерством на недопущение пов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торения нарушения.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3.3. При проведении (не реже одного раза в год) структурными подразделениями Министерства в части своей компетенции анализа нормативных правовых актов Минист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ерства должны реализовываться следующие мероприятия, а результаты их реализации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для обобщения и контроля направляться в сектор правового обеспечения: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а) разработка и размещение на официальном сайте Министерства в информационно-телекоммуникационной сети «Ин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тернет» (далее - официальный сайт) исчерпывающего перечня нормативных правовых 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ктов Министерства (далее - перечень актов) с приложением к перечню актов текстов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указанных актов, за исключением актов, содержащих сведения, относящиеся к охраняемой законом та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йне;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б) размещение на официальном сайте уведомления о начале сбора замечаний и п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редложений организаций и граждан по перечню актов;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в) осуществление сбора и проведение анализа представленных замечаний и предложений организаций и граждан по перечню актов;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направление в сектор правового обеспечения доклада с обоснованием целесообразно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сти (нецелесообразности) внесения изменений в нормативные правовые акты Министер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ства для подготовки сводного доклада по указанному вопросу и его представления руководству Минис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терства.</w:t>
      </w:r>
      <w:r/>
    </w:p>
    <w:p>
      <w:pPr>
        <w:pStyle w:val="601"/>
        <w:ind w:firstLine="709"/>
        <w:widowControl/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3.4. При проведении анализа проектов нормативных правовых актов структу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рными подразделениями Министерства в части своей компетенции должны реа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лизовываться следующие мероприятия, а результаты их реализации для обобщения и контроля направляться в се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ктор правового обеспечения: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а) размещение на официальном сайте проекта нормативного правового акта с необходимым обоснованием реализ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ации предлагаемых решений, в том числе их влияния на конкуренцию;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б) осуществление сбора и проведение оценки поступивших от организаций и граждан замеча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ний и предложений по проекту нормативного правового акта.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3.5. При проведении мониторинга и анализа практики применения антимонопольного законодательства в Министерстве с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ектором правового обеспечения совместно со структурными подразделениями Министерства д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олжны реализовываться следующие мероприятия: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а) осуществление на постоянной основе сбора сведений о правоприменительной практике в Министерстве;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б) подготовка по итогам с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бора информации аналитической справки об изменениях и основных аспектах правопримените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льной практики в Министерстве;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в) проведение (не реже одного раза в год) рабочих совещаний с приглашением представителей антимонопольного органа по обсуждению результатов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правоприменительной практики в Министерстве.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3.6. При выявлении рисков нарушения анти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монопольного законодательства сектором правового обеспечения совместно со структурными подразделениями Министерства должна проводиться оценка таких рисков с учетом следую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щих показателей: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а) отрицательное влияние на отношение институтов гражданского обществ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 к деятельности Министерства по развитию конкуренции;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б) выдача предупреждения о прекращении действий (бездействия), которые содержат признаки нарушения антимонопольного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законодательства;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в) возбуждение дела о нарушении антимонопольного законодательства;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г) привлечение к административной ответственности в виде наложения штрафов на должностных лиц или в виде их дисквалификации.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3.7. Распределение выявленных рисков нарушени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я антимонопольного законодательства осуществляется в соответствии с методическими </w:t>
      </w:r>
      <w:r>
        <w:rPr>
          <w:rFonts w:ascii="Calibri" w:hAnsi="Calibri" w:cs="Times New Roman"/>
          <w:sz w:val="28"/>
          <w:szCs w:val="28"/>
          <w:lang w:eastAsia="en-US"/>
        </w:rPr>
        <w:fldChar w:fldCharType="begin"/>
      </w:r>
      <w:r>
        <w:rPr>
          <w:rFonts w:ascii="Calibri" w:hAnsi="Calibri" w:cs="Times New Roman"/>
          <w:sz w:val="28"/>
          <w:szCs w:val="28"/>
          <w:lang w:eastAsia="en-US"/>
        </w:rPr>
        <w:instrText xml:space="preserve"> HY</w:instrText>
      </w:r>
      <w:r>
        <w:rPr>
          <w:rFonts w:ascii="Calibri" w:hAnsi="Calibri" w:cs="Times New Roman"/>
          <w:sz w:val="28"/>
          <w:szCs w:val="28"/>
          <w:lang w:eastAsia="en-US"/>
        </w:rPr>
        <w:instrText xml:space="preserve">PERLINK "consultantplus://offline/ref=0718488DF95ED7FDDE48B8B76F52CDC2E5854F9A81F0046D8B6FF21F8352FCF8462B9B205AA97B9F5EF693F66ADF6CF911FC0F855E5E5616T516O" </w:instrText>
      </w:r>
      <w:r>
        <w:rPr>
          <w:rFonts w:ascii="Calibri" w:hAnsi="Calibri" w:cs="Times New Roman"/>
          <w:sz w:val="28"/>
          <w:szCs w:val="28"/>
          <w:lang w:eastAsia="en-US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рекомендация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утвержденными распоряжением Правительства Российской Федерации от 18 октября 2018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г. № 2258-р.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3.8. На основе проведенной оценки рисков нарушения антимонопольного законодательства сектором правового обеспечения совместно со структурными подразделениям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 Министерства составляется описание рисков, в которое также включается оценка причин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 условий возникновения рисков.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3.9. Информация о проведении выявления и оценки рисков нарушения антимонопольного законодательства включается в доклад об антимонопольном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комплаенсе.</w:t>
      </w:r>
      <w:r/>
    </w:p>
    <w:p>
      <w:pPr>
        <w:pStyle w:val="601"/>
        <w:ind w:firstLine="709"/>
        <w:jc w:val="center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  <w:outlineLvl w:val="1"/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709"/>
        <w:jc w:val="center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  <w:outlineLvl w:val="1"/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4. Мероприятия по снижению рисков</w:t>
      </w:r>
      <w:r/>
    </w:p>
    <w:p>
      <w:pPr>
        <w:pStyle w:val="601"/>
        <w:ind w:firstLine="709"/>
        <w:jc w:val="center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нарушения антимонопольного законодатель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ства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4.1. В целях снижения рисков нарушения антимонопольного законодательства сектором правового обеспечения, совместно со структурными подразделениями Министерства долж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ны разрабатываться (не реже одного раза в год) мероприятия по снижению рисков нарушени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я антимонопольного законодательства (план мероприятий).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4.2. Сектор правового обеспечения совместно со структурными подразделениями Министерства должен осуществлять монит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оринг исполнения мероприятий по снижению рисков нарушения антимонопольного законодател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ьства.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4.3. Информация об исполнении мероприятий по снижению рисков нарушения антимонопольного законодательства должна включаться в доклад об антимонопольном комплаенсе.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709"/>
        <w:jc w:val="center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  <w:outlineLvl w:val="1"/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5. Оценка эффективности функционирования</w:t>
      </w:r>
      <w:r/>
    </w:p>
    <w:p>
      <w:pPr>
        <w:pStyle w:val="601"/>
        <w:ind w:firstLine="709"/>
        <w:jc w:val="center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Министерстве антимонопольного комплаенса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5.1. В целях оценки эффективности функционирования в Министерстве антимонопольного комплаенса должны устанавливаться ключевые показатели как для сектора правового обеспеч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ения, структурных подразделений Министерства, так и для Министерства в целом.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5.2. Мет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одика расчета ключевых показателей эффективности функционирования комплаенса должна разрабатываться федеральным антимонопольным органом.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5.3. Сектор правового обеспечения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совместно со структурными подразделениями Министерства должен проводить (не реже одно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го раза в год) оценку достижения ключевых показателей эффективности антимонопольного комплаенса в Министерстве.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5.4. Информация о достижении ключевых показателей эффектив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ности функционирования в Министерстве антимонопольного комплаенса должна включаться в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доклад об антимонопольном комплаенсе.</w:t>
      </w:r>
      <w:r/>
    </w:p>
    <w:p>
      <w:pPr>
        <w:pStyle w:val="601"/>
        <w:ind w:firstLine="709"/>
        <w:jc w:val="center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  <w:outlineLvl w:val="1"/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709"/>
        <w:jc w:val="center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  <w:outlineLvl w:val="1"/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6. Доклад об антимонопольном комплаенсе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6.1. Доклад об антимонопольном комплаенсе должен содержать информацию: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а) о результатах пр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оведенной оценки рисков нарушения Министерством антимонопольного законодательства;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б)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 исполнении мероприятий по снижению рисков нарушения Министерством антимонопольного законодательства;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в) о достижении ключевых показателей эффективности антимонопольног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 комплаенса.</w:t>
      </w:r>
      <w:r/>
    </w:p>
    <w:p>
      <w:pPr>
        <w:pStyle w:val="601"/>
        <w:ind w:firstLine="709"/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6.2. Доклад об антимонопольном комплаенсе должен представляться в Общест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венный совет на утверждение (не реже одного раза в год) сектором правового обеспечения совместно со структурными подразделениями в срок не позднее 1 апреля года, следующе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го за отчетным.</w:t>
      </w:r>
      <w:r/>
    </w:p>
    <w:p>
      <w:pPr>
        <w:pStyle w:val="601"/>
        <w:ind w:firstLine="709"/>
        <w:widowControl/>
        <w:rPr>
          <w:vanish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6.3. Доклад об антимонопольном комплаенсе, утвержденный Общественным с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оветом, должен размещаться на официальном сайте.</w:t>
      </w:r>
      <w:r>
        <w:rPr>
          <w:vanish/>
        </w:rPr>
      </w:r>
      <w:r/>
    </w:p>
    <w:p>
      <w:pPr>
        <w:pStyle w:val="601"/>
        <w:rPr>
          <w:vanish/>
        </w:rPr>
      </w:pPr>
      <w:r>
        <w:rPr>
          <w:vanish/>
        </w:rPr>
      </w:r>
      <w:r/>
    </w:p>
    <w:p>
      <w:pPr>
        <w:pStyle w:val="601"/>
        <w:ind w:firstLine="0"/>
        <w:jc w:val="left"/>
        <w:tabs>
          <w:tab w:val="left" w:pos="322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1"/>
        <w:ind w:firstLine="33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</w:r>
      <w:r/>
    </w:p>
    <w:p>
      <w:pPr>
        <w:pStyle w:val="601"/>
        <w:ind w:firstLine="33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</w:r>
      <w:r/>
    </w:p>
    <w:p>
      <w:pPr>
        <w:pStyle w:val="601"/>
        <w:ind w:firstLine="33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</w:r>
      <w:r/>
    </w:p>
    <w:p>
      <w:pPr>
        <w:pStyle w:val="601"/>
        <w:ind w:firstLine="33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</w:r>
      <w:r/>
    </w:p>
    <w:p>
      <w:pPr>
        <w:pStyle w:val="601"/>
        <w:ind w:firstLine="33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</w:r>
      <w:r/>
    </w:p>
    <w:p>
      <w:pPr>
        <w:pStyle w:val="601"/>
        <w:ind w:firstLine="0"/>
        <w:jc w:val="center"/>
        <w:shd w:val="clear" w:color="auto" w:fill="ffffff"/>
        <w:widowControl/>
        <w:rPr>
          <w:rFonts w:ascii="Times New Roman" w:hAnsi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ДОКЛАД об организации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Министерстве цифрового развития КБР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соответствия требованиям антимонопольного законодатель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ства (антимонопольного комплаенса)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601"/>
        <w:ind w:firstLine="0"/>
        <w:jc w:val="center"/>
        <w:shd w:val="clear" w:color="auto" w:fill="ffffff"/>
        <w:widowControl/>
        <w:rPr>
          <w:rFonts w:ascii="Times New Roman" w:hAnsi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Утвержден протоколом заседания Комисси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и Федерального агентства по государственным резервам по оценке эффективности функционирования антимонопольного комплаенса от «27» января 2021 г. № 1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Во исполнение распоря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жения Правительства Российской Федерации от 18 октября 2018 года № 2258-р «Об утвержде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ого законодательства» и приказа Росрезерва от 26.02.2019 № 41 «Об организации в Росрез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ерве системы внутреннего обеспечения соответствия требованиям антимонопольного законодательства» (далее – приказ Росрезерва от 26.02.2019 № 41) подготовлен ежегодный докл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ад об организации в Федеральном агентстве по государственным резервам антимонопольного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 комплаенса.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Согласно пункту 30 Положения об организации Росрезервом системы внутреннего обеспечения соответствия требованиям антимонопольного законодательства, утвержден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ного приказом Росрезерва от 26.02.2019 № 41 (далее – Положение об антимонопольном комп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лаенсе), доклад об антимонопольном комплаенсе содержит информацию: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а) о результатах проведенной оценки рисков нарушения в системе государственного материального резерва а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нтимонопольного законодательства;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б) об исполнении мероприятий по снижению рисков нару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шения в системе государственного материального резерва антимонопольного законодательства;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в) о достижении ключевых показателей эффективности антимонопольного комплаенса.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color w:val="3f3f3f"/>
          <w:sz w:val="28"/>
          <w:szCs w:val="28"/>
        </w:rPr>
        <w:t xml:space="preserve">I. Оценка рисков нарушения в системе государственного материального резерва антимоноп</w:t>
      </w:r>
      <w:r>
        <w:rPr>
          <w:rFonts w:ascii="Times New Roman" w:hAnsi="Times New Roman" w:cs="Times New Roman"/>
          <w:b/>
          <w:bCs/>
          <w:color w:val="3f3f3f"/>
          <w:sz w:val="28"/>
          <w:szCs w:val="28"/>
        </w:rPr>
        <w:t xml:space="preserve">ольного законодательства</w:t>
      </w:r>
      <w:r>
        <w:rPr>
          <w:rFonts w:ascii="Times New Roman" w:hAnsi="Times New Roman" w:cs="Times New Roman"/>
          <w:color w:val="3f3f3f"/>
          <w:sz w:val="28"/>
          <w:szCs w:val="28"/>
        </w:rPr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 В целях оценки рисков нарушения в системе государственного материального резерва антимонопольного законодательства выполнены следующие мероприят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ия.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1. Осуществлен ежеквартальный сбор в структурных подразделениях Росрезерва, его те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рриториальных органах и подведомственных организациях сведений о наличии нарушений антимонопольного законодательства, допущенных в системе государственного материального 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резерва и выявленных внешними контролирующими органами в 2020 году (наличие предостере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жений, предупреждений, штрафов, жалоб, возбужденных дел);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По результатам сбора и оценки представленных сведений с точки зрения их относимости к нарушениям антимонопольног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о законодательства отобраны материалы о нарушениях антимонопольного законодательства.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2. На основе указанных материалов составлен Перечень нарушений антимонопольного законодательства, допущенных организациями Росрезерва и классифицированных по сферам деяте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льности Росрезерва (далее – перечень нарушений).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3. На основе перечня нарушений, а так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же проведенного мониторинга и анализа основных аспектов правоприменительной практики соблюдения в Росрезерве, его территориальных управлениях и подведомственных организац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иях антимонопольного законодательства, актуализирована Карта рисков нарушения антимоно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польного законодательства в системе государственного материального резерва, содержащая описание рисков, оценку причин и условий возникновения рисков и их распределение по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 уровням согласно приложению к распоряжению Правительства Российской Федерации от 18.1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0.2018 № 2258-р.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Применительно к содержащимся в карте рисков нарушениям антимонопольного законодательства уровни рисков (низкий, незначительный, существенный, высокий) ра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спределены исходя из причин и условий их возникновения. 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f3f3f"/>
          <w:sz w:val="28"/>
          <w:szCs w:val="28"/>
        </w:rPr>
        <w:t xml:space="preserve">II. Исполнение мероприятий по</w:t>
      </w:r>
      <w:r>
        <w:rPr>
          <w:rFonts w:ascii="Times New Roman" w:hAnsi="Times New Roman" w:cs="Times New Roman"/>
          <w:b/>
          <w:bCs/>
          <w:color w:val="3f3f3f"/>
          <w:sz w:val="28"/>
          <w:szCs w:val="28"/>
        </w:rPr>
        <w:t xml:space="preserve"> снижению рисков нарушения в системе государственного материального резерва антимонопольного законодательства</w:t>
      </w:r>
      <w:r>
        <w:rPr>
          <w:rFonts w:ascii="Times New Roman" w:hAnsi="Times New Roman" w:cs="Times New Roman"/>
          <w:color w:val="3f3f3f"/>
          <w:sz w:val="28"/>
          <w:szCs w:val="28"/>
        </w:rPr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 В течение отчетного года реализован комплекс мероприятий, п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редусмотренных Планом мероприятий по снижению рисков нарушения антимонопольного законо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дательства (комплаенс-рисков) в Росрезерве на 2020 год (далее – План мероприятий).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1. Проведен анализ нормативных правовых актов и проектов нормативных правовых актов Рос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резерва на предмет их соответствия требованиям антимонопольного законодательства.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В це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лях выявления и исключения рисков нарушения антимонопольного законодательства, а также решения вопроса о целесообразности (нецелесообразности) внесения изменений в нормат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ивные правовые акты сформирован и размещен в сентябре 2020 года на официальном сайте Р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осрезерва в разделе «Антимонопольный комплаенс» перечень нормативных правовых актов Росрезерва, подлежащих рассмотрению на предмет их соответствия антимонопольному законо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дательству (далее – перечень актов), с уведомлением о начале сбора замечаний и предлож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ений граждан и организаций в период с 29 сентября по 5 ноября 2020 года.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В установленный уведомлением срок замечаний и предложений граждан и организаций по перечню актов 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не поступило.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Кроме того, в течение года на регулярной основе проводился анализ проект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ов нормативных правовых актов Росрезерва при их размещении на официальном сайте regulation.gov.ru в информационно-телекоммуникационной сети «Интернет» на предмет их соотв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етствия антимонопольному законодательству.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По итогам проведенного анализа нормативных 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правовых актов, проектов нормативных правовых актов сделан вывод об их соответствии требованиям антимонопольного законодательства и о нецелесообразности внесения в них из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менений.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2. Во исполнение п. 14 Положения об антимонопольном комплаенсе в Росрезерве, 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его территориальных органах и подведомственных организациях на регулярной основе осуществляется сбор сведений о правоприменительной практике (в составе ежеквартальных отч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етов), а также мониторинг нарушений антимонопольного законодательства, допускаемых под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ведомственными Росрезерву организациями, посредством анализа информации, содержащейся в Единой информационной системе (ЕИС), базе решений ФАС и иных открытых источниках и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нформации в информационно-телекоммуникационной сети «Интернет».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За отчетный период как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их-либо изменений в правоприменительной практике, требующих корректировки проводимых мероприятий, не прослеживалось.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3. Во исполнение пункта 5 Плана мероприятий разработа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н и направлен для использования в работе в территориальные органы</w:t>
        <w:br w:type="textWrapping" w:clear="all"/>
        <w:t xml:space="preserve">и подведомственные Р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осрезерву организации методический документ (чек-лист), предусматривающий пошаговый, детальный алгоритм действий организации Росрезерва при подготовке извещения (приглаше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ния) и документации о закупке, а также при проверке заявок на участие в закупке, с уче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том требований законодательства Российской Федерации, предъявляемых к участникам закупки (в том числе дополнительных требований), а также требований к составу, содержанию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 и оформлению заявки на участие в закупке, установленных законодательством о контрактн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ой системе в сфере закупок и документацией о закупке.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 4. В связи со сложной эпидемиологической обстановкой запланированный в мае 2020 года учебно-методический сбор с раб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отниками управлений Росрезерва по федеральным округам, ответственных за функционирован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ие антимонопольного комплаенса, не состоялся.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Вместе с тем, наиболее актуальные вопросы, связанные с функционированием антимонопольного комплаенса, были рассмотрены в ход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е организованной 6 июня 2020 года видеоконференции с участием территориальных органов 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Росрезерва. 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f3f3f"/>
          <w:sz w:val="28"/>
          <w:szCs w:val="28"/>
        </w:rPr>
        <w:t xml:space="preserve">III. Информация о достижении ключевых показателей эффективности антимонопольного комплаенса</w:t>
      </w:r>
      <w:r>
        <w:rPr>
          <w:rFonts w:ascii="Times New Roman" w:hAnsi="Times New Roman" w:cs="Times New Roman"/>
          <w:color w:val="3f3f3f"/>
          <w:sz w:val="28"/>
          <w:szCs w:val="28"/>
        </w:rPr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 Положением об антимонопольном комплаенсе определено, что при про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ведении ежегодной оценки достижения ключевых показателей эффективности (КПЭ) антимоноп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ольного комплаенса применяется методика, утвержденная приказом ФАС России от 05.02.2019 № 133/19 «Об утверждении методики расчета ключевых показателей эффективности функц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ионирования в федеральном органе исполнительной власти антимонопольного комплаенса» (д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алее – приказ ФАС России).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Согласно методике, предусмотренной приказом ФАС России, ключевыми показателями эффективности антимонопольного комплаенса для Росрезерва являютс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я: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1) коэффициент снижения количества нарушений антимонопольного законодательства со с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тороны Росрезерва (по сравнению с 2019 годом) (КСН);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2) доля проектов нормативных правовых актов Росрезерва, в которых выявлены риски нарушения антимонопольного законодат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ельства (Дпнпа);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3) доля нормативных правовых актов Росрезерва, в которых выявлены рис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ки нарушения антимонопольного законодательства (Днпа).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4) доля сотрудников Росрезерва, с которыми были проведены обучающие мероприятия по антимонопольному законодательств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у и антимонопольному комплаенсу (ДСо).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Проведенный в соответствии с приказом ФАС Росси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и расчет КПЭ позволяет сделать вывод о достижении в Росрезерве ключевых показателей эффективности функционирования антимонопольного комплаенса.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color w:val="3f3f3f"/>
          <w:sz w:val="28"/>
          <w:szCs w:val="28"/>
        </w:rPr>
        <w:t xml:space="preserve">IV. Оценка эффективности </w:t>
      </w:r>
      <w:r>
        <w:rPr>
          <w:rFonts w:ascii="Times New Roman" w:hAnsi="Times New Roman" w:cs="Times New Roman"/>
          <w:b/>
          <w:bCs/>
          <w:color w:val="3f3f3f"/>
          <w:sz w:val="28"/>
          <w:szCs w:val="28"/>
        </w:rPr>
        <w:t xml:space="preserve">антимонопольного комплаенса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 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При оценке эффективности организации и функционирования в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 системе государственного материального резерва антимонопольного комплаенса в 2020 году следует исходить из выполнения задач и реализации комплекса мероприятий, предусмот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ренных Положением об антимонопольном комплаенсе и Планом мероприятий, достижения ключе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вых показателей эффективности, а также снижения количества нарушений антимонопольного законодательства в сравнении с 2019 годом.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Среди основных мероприятий, проведенных в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 2020 году, следует отметить регулярный анализ проектов нормативных правовых актов Рос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резерва, разработку методического руководства, позволяющего учесть риски нарушения антимонопольного законодательства при подготовке закупочной документации и при проверке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 заявок на участие в закупке, а также актуализацию карты рисков.</w:t>
      </w:r>
      <w:r/>
    </w:p>
    <w:p>
      <w:pPr>
        <w:pStyle w:val="601"/>
        <w:ind w:firstLine="0"/>
        <w:shd w:val="clear" w:color="auto" w:fill="ffffff"/>
        <w:widowControl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По итогам проведенной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 работы определены дальнейшие мероприятия, которые планируется реализовать в Росрезерве в течение 2021 года в целях совершенствования антимонопольного комплаенса, минимиз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ации и устранения рисков нарушения антимонопольного законодательства.</w:t>
      </w:r>
      <w:r/>
    </w:p>
    <w:p>
      <w:pPr>
        <w:pStyle w:val="601"/>
        <w:ind w:firstLine="3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/>
    </w:p>
    <w:p>
      <w:pPr>
        <w:pStyle w:val="601"/>
        <w:ind w:firstLine="3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/>
    </w:p>
    <w:p>
      <w:pPr>
        <w:pStyle w:val="601"/>
        <w:ind w:firstLine="33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</w:r>
      <w:r/>
    </w:p>
    <w:sectPr>
      <w:footnotePr/>
      <w:endnotePr/>
      <w:type w:val="nextPage"/>
      <w:pgSz w:w="11906" w:h="16838" w:orient="portrait"/>
      <w:pgMar w:top="993" w:right="991" w:bottom="1418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1"/>
        <w:ind w:left="720" w:hanging="360"/>
      </w:pPr>
      <w:rPr>
        <w:rFonts w:cs="Arial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0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0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0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0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0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0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0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01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1"/>
        <w:ind w:left="1278" w:hanging="852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01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01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01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01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01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01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01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01"/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1"/>
    <w:next w:val="60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1"/>
    <w:next w:val="601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1"/>
    <w:next w:val="60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1"/>
    <w:next w:val="60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1"/>
    <w:next w:val="601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1"/>
    <w:next w:val="60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1"/>
    <w:next w:val="60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1"/>
    <w:next w:val="60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1"/>
    <w:next w:val="60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1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1"/>
    <w:next w:val="60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01"/>
    <w:next w:val="60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01"/>
    <w:next w:val="60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1"/>
    <w:next w:val="60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0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0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next w:val="601"/>
    <w:link w:val="601"/>
    <w:qFormat/>
    <w:pPr>
      <w:ind w:firstLine="720"/>
      <w:jc w:val="both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602">
    <w:name w:val="Основной шрифт абзаца"/>
    <w:next w:val="602"/>
    <w:link w:val="601"/>
    <w:uiPriority w:val="1"/>
    <w:semiHidden/>
    <w:unhideWhenUsed/>
  </w:style>
  <w:style w:type="table" w:styleId="603">
    <w:name w:val="Обычная таблица"/>
    <w:next w:val="603"/>
    <w:link w:val="601"/>
    <w:uiPriority w:val="99"/>
    <w:semiHidden/>
    <w:unhideWhenUsed/>
    <w:tblPr/>
  </w:style>
  <w:style w:type="numbering" w:styleId="604">
    <w:name w:val="Нет списка"/>
    <w:next w:val="604"/>
    <w:link w:val="601"/>
    <w:uiPriority w:val="99"/>
    <w:semiHidden/>
    <w:unhideWhenUsed/>
  </w:style>
  <w:style w:type="paragraph" w:styleId="605">
    <w:name w:val="Текст выноски"/>
    <w:basedOn w:val="601"/>
    <w:next w:val="605"/>
    <w:link w:val="60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06">
    <w:name w:val="Текст выноски Знак"/>
    <w:next w:val="606"/>
    <w:link w:val="60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607">
    <w:name w:val="Сетка таблицы"/>
    <w:basedOn w:val="603"/>
    <w:next w:val="607"/>
    <w:link w:val="601"/>
    <w:uiPriority w:val="39"/>
    <w:pPr>
      <w:spacing w:after="0" w:line="240" w:lineRule="auto"/>
    </w:pPr>
    <w:tblPr/>
  </w:style>
  <w:style w:type="character" w:styleId="608">
    <w:name w:val="Гиперссылка"/>
    <w:next w:val="608"/>
    <w:link w:val="601"/>
    <w:uiPriority w:val="99"/>
    <w:unhideWhenUsed/>
    <w:rPr>
      <w:color w:val="0563c1"/>
      <w:u w:val="single"/>
    </w:rPr>
  </w:style>
  <w:style w:type="paragraph" w:styleId="609">
    <w:name w:val="ConsPlusNonformat"/>
    <w:next w:val="609"/>
    <w:link w:val="601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10">
    <w:name w:val="ConsPlusNormal"/>
    <w:next w:val="610"/>
    <w:link w:val="601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611">
    <w:name w:val="ConsPlusTitle"/>
    <w:next w:val="611"/>
    <w:link w:val="601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612">
    <w:name w:val="Без интервала"/>
    <w:next w:val="612"/>
    <w:link w:val="601"/>
    <w:uiPriority w:val="1"/>
    <w:qFormat/>
    <w:rPr>
      <w:rFonts w:ascii="Times New Roman" w:hAnsi="Times New Roman"/>
      <w:sz w:val="28"/>
      <w:szCs w:val="22"/>
      <w:lang w:val="ru-RU" w:eastAsia="en-US" w:bidi="ar-SA"/>
    </w:rPr>
  </w:style>
  <w:style w:type="character" w:styleId="2964" w:default="1">
    <w:name w:val="Default Paragraph Font"/>
    <w:uiPriority w:val="1"/>
    <w:semiHidden/>
    <w:unhideWhenUsed/>
  </w:style>
  <w:style w:type="numbering" w:styleId="2965" w:default="1">
    <w:name w:val="No List"/>
    <w:uiPriority w:val="99"/>
    <w:semiHidden/>
    <w:unhideWhenUsed/>
  </w:style>
  <w:style w:type="table" w:styleId="29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3</cp:revision>
  <dcterms:created xsi:type="dcterms:W3CDTF">2021-06-23T12:05:00Z</dcterms:created>
  <dcterms:modified xsi:type="dcterms:W3CDTF">2023-02-20T13:42:51Z</dcterms:modified>
  <cp:version>1048576</cp:version>
</cp:coreProperties>
</file>