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9A03F" w14:textId="53D1E6D8" w:rsidR="00C71E52" w:rsidRDefault="009E5AE4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DD5D8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УТВЕРЖДЕНЫ</w:t>
      </w:r>
    </w:p>
    <w:p w14:paraId="6C556807" w14:textId="4683B2D2" w:rsidR="00C71E52" w:rsidRDefault="009E5AE4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="00DD5D8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приказом </w:t>
      </w:r>
      <w:proofErr w:type="spellStart"/>
      <w:r w:rsidR="00DD5D8E">
        <w:rPr>
          <w:sz w:val="28"/>
          <w:szCs w:val="28"/>
        </w:rPr>
        <w:t>Минцифры</w:t>
      </w:r>
      <w:proofErr w:type="spellEnd"/>
      <w:r>
        <w:rPr>
          <w:sz w:val="28"/>
          <w:szCs w:val="28"/>
        </w:rPr>
        <w:t xml:space="preserve"> КБР </w:t>
      </w:r>
    </w:p>
    <w:p w14:paraId="70BC6BD4" w14:textId="77777777" w:rsidR="00DD5D8E" w:rsidRDefault="00DD5D8E">
      <w:pPr>
        <w:jc w:val="right"/>
      </w:pPr>
    </w:p>
    <w:p w14:paraId="358FC700" w14:textId="24D1DCEA" w:rsidR="00C71E52" w:rsidRDefault="00DD5D8E">
      <w:pPr>
        <w:jc w:val="right"/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№ 60-п от </w:t>
      </w:r>
      <w:r w:rsidR="009E5AE4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="009E5AE4">
        <w:rPr>
          <w:sz w:val="28"/>
          <w:szCs w:val="28"/>
        </w:rPr>
        <w:t>»</w:t>
      </w:r>
      <w:r>
        <w:rPr>
          <w:sz w:val="28"/>
          <w:szCs w:val="28"/>
        </w:rPr>
        <w:t xml:space="preserve"> декабря </w:t>
      </w:r>
      <w:r w:rsidR="009E5AE4">
        <w:rPr>
          <w:sz w:val="28"/>
          <w:szCs w:val="28"/>
        </w:rPr>
        <w:t xml:space="preserve"> 2021 г.</w:t>
      </w:r>
    </w:p>
    <w:p w14:paraId="67D219AC" w14:textId="77777777" w:rsidR="00C71E52" w:rsidRDefault="00C71E52">
      <w:pPr>
        <w:pStyle w:val="3"/>
      </w:pPr>
    </w:p>
    <w:p w14:paraId="022FD10D" w14:textId="77777777" w:rsidR="00C71E52" w:rsidRDefault="009E5AE4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Ключевые </w:t>
      </w:r>
      <w:r>
        <w:rPr>
          <w:b/>
          <w:sz w:val="28"/>
          <w:szCs w:val="28"/>
          <w:lang w:eastAsia="ru-RU"/>
        </w:rPr>
        <w:t xml:space="preserve">показатели </w:t>
      </w:r>
    </w:p>
    <w:p w14:paraId="7F7392F8" w14:textId="77777777" w:rsidR="00C71E52" w:rsidRDefault="009E5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эффективности функционирования антимонопольного комплаенса </w:t>
      </w:r>
    </w:p>
    <w:p w14:paraId="0FDA3D98" w14:textId="3AC46027" w:rsidR="00C71E52" w:rsidRDefault="00DD5D8E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</w:t>
      </w:r>
      <w:r w:rsidR="009E5AE4">
        <w:rPr>
          <w:b/>
          <w:sz w:val="28"/>
          <w:szCs w:val="28"/>
          <w:lang w:eastAsia="ru-RU"/>
        </w:rPr>
        <w:t xml:space="preserve">в </w:t>
      </w:r>
      <w:proofErr w:type="spellStart"/>
      <w:r w:rsidR="009E5AE4">
        <w:rPr>
          <w:b/>
          <w:sz w:val="28"/>
          <w:szCs w:val="28"/>
          <w:lang w:eastAsia="ru-RU"/>
        </w:rPr>
        <w:t>Мин</w:t>
      </w:r>
      <w:r>
        <w:rPr>
          <w:b/>
          <w:sz w:val="28"/>
          <w:szCs w:val="28"/>
          <w:lang w:eastAsia="ru-RU"/>
        </w:rPr>
        <w:t>цифры</w:t>
      </w:r>
      <w:proofErr w:type="spellEnd"/>
      <w:r w:rsidR="009E5AE4">
        <w:rPr>
          <w:b/>
          <w:sz w:val="28"/>
          <w:szCs w:val="28"/>
          <w:lang w:eastAsia="ru-RU"/>
        </w:rPr>
        <w:t xml:space="preserve"> КБР</w:t>
      </w:r>
    </w:p>
    <w:p w14:paraId="4279A03F" w14:textId="77777777" w:rsidR="00C71E52" w:rsidRDefault="00C71E52">
      <w:pPr>
        <w:jc w:val="center"/>
        <w:rPr>
          <w:b/>
          <w:sz w:val="28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816"/>
        <w:gridCol w:w="3970"/>
        <w:gridCol w:w="6095"/>
        <w:gridCol w:w="1985"/>
        <w:gridCol w:w="2268"/>
      </w:tblGrid>
      <w:tr w:rsidR="00C71E52" w14:paraId="44741D86" w14:textId="77777777" w:rsidTr="00DD5D8E">
        <w:tc>
          <w:tcPr>
            <w:tcW w:w="816" w:type="dxa"/>
          </w:tcPr>
          <w:p w14:paraId="4F057B49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>№ п/п</w:t>
            </w:r>
          </w:p>
        </w:tc>
        <w:tc>
          <w:tcPr>
            <w:tcW w:w="3970" w:type="dxa"/>
          </w:tcPr>
          <w:p w14:paraId="205776AA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>Наименование ключевого показа</w:t>
            </w:r>
            <w:r w:rsidRPr="00DD5D8E">
              <w:rPr>
                <w:b/>
                <w:bCs/>
                <w:sz w:val="28"/>
              </w:rPr>
              <w:t xml:space="preserve">теля </w:t>
            </w:r>
          </w:p>
        </w:tc>
        <w:tc>
          <w:tcPr>
            <w:tcW w:w="6095" w:type="dxa"/>
          </w:tcPr>
          <w:p w14:paraId="567014C0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 xml:space="preserve">Расчет ключевого показателя </w:t>
            </w:r>
          </w:p>
        </w:tc>
        <w:tc>
          <w:tcPr>
            <w:tcW w:w="1985" w:type="dxa"/>
          </w:tcPr>
          <w:p w14:paraId="24D8DE0C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>Значение показателя</w:t>
            </w:r>
          </w:p>
        </w:tc>
        <w:tc>
          <w:tcPr>
            <w:tcW w:w="2268" w:type="dxa"/>
          </w:tcPr>
          <w:p w14:paraId="2ECB3319" w14:textId="77777777" w:rsidR="00C71E52" w:rsidRPr="00DD5D8E" w:rsidRDefault="009E5AE4">
            <w:pPr>
              <w:jc w:val="center"/>
              <w:rPr>
                <w:b/>
                <w:bCs/>
                <w:sz w:val="28"/>
              </w:rPr>
            </w:pPr>
            <w:r w:rsidRPr="00DD5D8E">
              <w:rPr>
                <w:b/>
                <w:bCs/>
                <w:sz w:val="28"/>
              </w:rPr>
              <w:t xml:space="preserve">Уровень эффективности </w:t>
            </w:r>
          </w:p>
        </w:tc>
      </w:tr>
      <w:tr w:rsidR="00C71E52" w14:paraId="5F420FFE" w14:textId="77777777" w:rsidTr="00DD5D8E">
        <w:tc>
          <w:tcPr>
            <w:tcW w:w="816" w:type="dxa"/>
          </w:tcPr>
          <w:p w14:paraId="359D768C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70" w:type="dxa"/>
          </w:tcPr>
          <w:p w14:paraId="74D99CAB" w14:textId="538ED3DB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Доля сотрудников </w:t>
            </w:r>
            <w:proofErr w:type="spellStart"/>
            <w:r>
              <w:rPr>
                <w:sz w:val="28"/>
              </w:rPr>
              <w:t>Мин</w:t>
            </w:r>
            <w:r w:rsidR="00DD5D8E">
              <w:rPr>
                <w:sz w:val="28"/>
              </w:rPr>
              <w:t>цифры</w:t>
            </w:r>
            <w:proofErr w:type="spellEnd"/>
            <w:r>
              <w:rPr>
                <w:sz w:val="28"/>
              </w:rPr>
              <w:t xml:space="preserve"> КБР, в отношении которых были проведены обучающие мероприятия по антимонопольному законодательству и антимонопольному комплаенсу </w:t>
            </w:r>
          </w:p>
        </w:tc>
        <w:tc>
          <w:tcPr>
            <w:tcW w:w="6095" w:type="dxa"/>
          </w:tcPr>
          <w:p w14:paraId="61666AF9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Отношение кол</w:t>
            </w:r>
            <w:r>
              <w:rPr>
                <w:sz w:val="28"/>
              </w:rPr>
              <w:t>ичества сотрудников министерства, с которыми были проведены обучающие мероприятия по антимонопольному законодательству и антимонопольному комплаенсу к общему количеству сотрудников министерства, чьи должностные обязанности предусматривают функций, связанны</w:t>
            </w:r>
            <w:r>
              <w:rPr>
                <w:sz w:val="28"/>
              </w:rPr>
              <w:t xml:space="preserve">х с рисками нарушения антимонопольного законодательства </w:t>
            </w:r>
          </w:p>
          <w:p w14:paraId="5B5C34B8" w14:textId="5C0FB382" w:rsidR="00DD5D8E" w:rsidRPr="00DD5D8E" w:rsidRDefault="00DD5D8E" w:rsidP="00DD5D8E">
            <w:pPr>
              <w:pStyle w:val="3"/>
            </w:pPr>
          </w:p>
        </w:tc>
        <w:tc>
          <w:tcPr>
            <w:tcW w:w="1985" w:type="dxa"/>
          </w:tcPr>
          <w:p w14:paraId="7B5F668F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 и более</w:t>
            </w:r>
          </w:p>
          <w:p w14:paraId="15EE757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0,99-0,5</w:t>
            </w:r>
          </w:p>
          <w:p w14:paraId="781DE17F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0,49-0,33</w:t>
            </w:r>
          </w:p>
          <w:p w14:paraId="2D60C1F8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0,32-0,25</w:t>
            </w:r>
          </w:p>
          <w:p w14:paraId="73FE123E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0,24 и менее </w:t>
            </w:r>
          </w:p>
        </w:tc>
        <w:tc>
          <w:tcPr>
            <w:tcW w:w="2268" w:type="dxa"/>
          </w:tcPr>
          <w:p w14:paraId="750EDBD7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Высокая</w:t>
            </w:r>
          </w:p>
          <w:p w14:paraId="5614C91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Существенная</w:t>
            </w:r>
          </w:p>
          <w:p w14:paraId="7673F057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Незначительная </w:t>
            </w:r>
          </w:p>
          <w:p w14:paraId="58D82A26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Низкая</w:t>
            </w:r>
          </w:p>
          <w:p w14:paraId="77D5C70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Неэффективно </w:t>
            </w:r>
          </w:p>
        </w:tc>
      </w:tr>
      <w:tr w:rsidR="00C71E52" w14:paraId="69BB0BE1" w14:textId="77777777" w:rsidTr="00DD5D8E">
        <w:tc>
          <w:tcPr>
            <w:tcW w:w="816" w:type="dxa"/>
          </w:tcPr>
          <w:p w14:paraId="046C6E33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70" w:type="dxa"/>
          </w:tcPr>
          <w:p w14:paraId="3C63CF2D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Коэффициент снижения количества нарушений антимонопольного законодательства со стороны </w:t>
            </w:r>
            <w:proofErr w:type="spellStart"/>
            <w:r>
              <w:rPr>
                <w:sz w:val="28"/>
              </w:rPr>
              <w:t>Мин</w:t>
            </w:r>
            <w:r w:rsidR="00DD5D8E">
              <w:rPr>
                <w:sz w:val="28"/>
              </w:rPr>
              <w:t>цифры</w:t>
            </w:r>
            <w:proofErr w:type="spellEnd"/>
            <w:r>
              <w:rPr>
                <w:sz w:val="28"/>
              </w:rPr>
              <w:t xml:space="preserve"> КБР (по сравнению с предыдущим годом)</w:t>
            </w:r>
          </w:p>
          <w:p w14:paraId="4ECC55B8" w14:textId="2E3B84D6" w:rsidR="00DD5D8E" w:rsidRPr="00DD5D8E" w:rsidRDefault="00DD5D8E" w:rsidP="00DD5D8E">
            <w:pPr>
              <w:pStyle w:val="3"/>
            </w:pPr>
          </w:p>
        </w:tc>
        <w:tc>
          <w:tcPr>
            <w:tcW w:w="6095" w:type="dxa"/>
          </w:tcPr>
          <w:p w14:paraId="718AB61C" w14:textId="77777777" w:rsidR="00DD5D8E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отношение количества нарушений антимонопольного законодательства со стороны министерства за год, предшествующий отчетному  </w:t>
            </w:r>
          </w:p>
          <w:p w14:paraId="100160B8" w14:textId="3A7D3C9A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к количеству нарушений антимонопольного законодательства со стороны министерства в отчетном периоде </w:t>
            </w:r>
          </w:p>
        </w:tc>
        <w:tc>
          <w:tcPr>
            <w:tcW w:w="1985" w:type="dxa"/>
          </w:tcPr>
          <w:p w14:paraId="1FE82366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14:paraId="27A2CE82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 и более</w:t>
            </w:r>
          </w:p>
          <w:p w14:paraId="2BD90B86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0,5-0,99</w:t>
            </w:r>
          </w:p>
          <w:p w14:paraId="409BD34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0,01-0,49</w:t>
            </w:r>
          </w:p>
        </w:tc>
        <w:tc>
          <w:tcPr>
            <w:tcW w:w="2268" w:type="dxa"/>
          </w:tcPr>
          <w:p w14:paraId="3505C641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  <w:p w14:paraId="39937591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6912203A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76B4821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71E52" w14:paraId="11E3B3F9" w14:textId="77777777" w:rsidTr="00DD5D8E">
        <w:tc>
          <w:tcPr>
            <w:tcW w:w="816" w:type="dxa"/>
          </w:tcPr>
          <w:p w14:paraId="47C3942C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970" w:type="dxa"/>
          </w:tcPr>
          <w:p w14:paraId="3518493B" w14:textId="5404262E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Доля проектов </w:t>
            </w:r>
            <w:r w:rsidR="00DD5D8E">
              <w:rPr>
                <w:sz w:val="28"/>
              </w:rPr>
              <w:t>НПА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</w:t>
            </w:r>
            <w:r w:rsidR="00DD5D8E">
              <w:rPr>
                <w:sz w:val="28"/>
              </w:rPr>
              <w:t>цифры</w:t>
            </w:r>
            <w:proofErr w:type="spellEnd"/>
            <w:r>
              <w:rPr>
                <w:sz w:val="28"/>
              </w:rPr>
              <w:t xml:space="preserve"> КБР, в которых выявлены риски нарушения антимонопольного законодательства </w:t>
            </w:r>
          </w:p>
        </w:tc>
        <w:tc>
          <w:tcPr>
            <w:tcW w:w="6095" w:type="dxa"/>
          </w:tcPr>
          <w:p w14:paraId="7FBE2FD3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Отношение количества проектов нормативных правовых актов министерства, в которых министерством выявлены риски нарушения антимонопольного законодательства (в отчетном периоде) к количеству нормативных правовых актов министерства, в которых антимонопольным о</w:t>
            </w:r>
            <w:r>
              <w:rPr>
                <w:sz w:val="28"/>
              </w:rPr>
              <w:t>рганом выявлены нарушения антимонопольного законодательства (в отчетном периоде)</w:t>
            </w:r>
          </w:p>
        </w:tc>
        <w:tc>
          <w:tcPr>
            <w:tcW w:w="1985" w:type="dxa"/>
          </w:tcPr>
          <w:p w14:paraId="3E3DB839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14:paraId="60D1453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 и более</w:t>
            </w:r>
          </w:p>
          <w:p w14:paraId="575A0987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0,5-0,99</w:t>
            </w:r>
          </w:p>
          <w:p w14:paraId="342C6E1D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0,01-0,49</w:t>
            </w:r>
          </w:p>
        </w:tc>
        <w:tc>
          <w:tcPr>
            <w:tcW w:w="2268" w:type="dxa"/>
          </w:tcPr>
          <w:p w14:paraId="278921D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14:paraId="52E4A7C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290623C3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B96C3D5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71E52" w14:paraId="311C3EE9" w14:textId="77777777" w:rsidTr="00DD5D8E">
        <w:tc>
          <w:tcPr>
            <w:tcW w:w="816" w:type="dxa"/>
          </w:tcPr>
          <w:p w14:paraId="677C1904" w14:textId="77777777" w:rsidR="00C71E52" w:rsidRDefault="009E5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70" w:type="dxa"/>
          </w:tcPr>
          <w:p w14:paraId="48D9359C" w14:textId="77777777" w:rsidR="00DD5D8E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r w:rsidR="00DD5D8E">
              <w:rPr>
                <w:sz w:val="28"/>
              </w:rPr>
              <w:t xml:space="preserve">НПА </w:t>
            </w:r>
            <w:proofErr w:type="spellStart"/>
            <w:r w:rsidR="00DD5D8E">
              <w:rPr>
                <w:sz w:val="28"/>
              </w:rPr>
              <w:t>Минцифры</w:t>
            </w:r>
            <w:proofErr w:type="spellEnd"/>
            <w:r>
              <w:rPr>
                <w:sz w:val="28"/>
              </w:rPr>
              <w:t xml:space="preserve"> КБР, </w:t>
            </w:r>
          </w:p>
          <w:p w14:paraId="1ED8AC2F" w14:textId="15ADD536" w:rsidR="00C71E52" w:rsidRDefault="009E5AE4">
            <w:r>
              <w:rPr>
                <w:sz w:val="28"/>
              </w:rPr>
              <w:t xml:space="preserve">в которых выявлены риски нарушения антимонопольного законодательства </w:t>
            </w:r>
          </w:p>
          <w:p w14:paraId="795258F8" w14:textId="77777777" w:rsidR="00C71E52" w:rsidRDefault="00C71E52">
            <w:pPr>
              <w:rPr>
                <w:sz w:val="28"/>
              </w:rPr>
            </w:pPr>
          </w:p>
        </w:tc>
        <w:tc>
          <w:tcPr>
            <w:tcW w:w="6095" w:type="dxa"/>
          </w:tcPr>
          <w:p w14:paraId="672C1063" w14:textId="77777777" w:rsidR="00C71E52" w:rsidRDefault="009E5AE4">
            <w:r>
              <w:rPr>
                <w:sz w:val="28"/>
              </w:rPr>
              <w:t xml:space="preserve">Отношение </w:t>
            </w:r>
            <w:proofErr w:type="gramStart"/>
            <w:r>
              <w:rPr>
                <w:sz w:val="28"/>
              </w:rPr>
              <w:t>количества  норматив</w:t>
            </w:r>
            <w:r>
              <w:rPr>
                <w:sz w:val="28"/>
              </w:rPr>
              <w:t>ных</w:t>
            </w:r>
            <w:proofErr w:type="gramEnd"/>
            <w:r>
              <w:rPr>
                <w:sz w:val="28"/>
              </w:rPr>
              <w:t xml:space="preserve"> правовых актов министерства, в которых министерством выявлены риски нарушения антимонопольного законодательства (в отчетном периоде) к количеству нормативных правовых актов министерства, в которых антимонопольным органом выявлены нарушения антимонополь</w:t>
            </w:r>
            <w:r>
              <w:rPr>
                <w:sz w:val="28"/>
              </w:rPr>
              <w:t>ного законодательства (в отчетном периоде)</w:t>
            </w:r>
          </w:p>
          <w:p w14:paraId="207D8E31" w14:textId="77777777" w:rsidR="00C71E52" w:rsidRDefault="00C71E52">
            <w:pPr>
              <w:rPr>
                <w:sz w:val="28"/>
              </w:rPr>
            </w:pPr>
          </w:p>
        </w:tc>
        <w:tc>
          <w:tcPr>
            <w:tcW w:w="1985" w:type="dxa"/>
          </w:tcPr>
          <w:p w14:paraId="0BC4BAAE" w14:textId="77777777" w:rsidR="00C71E52" w:rsidRDefault="009E5AE4">
            <w:r>
              <w:rPr>
                <w:sz w:val="28"/>
              </w:rPr>
              <w:t>0</w:t>
            </w:r>
          </w:p>
          <w:p w14:paraId="153A66A0" w14:textId="77777777" w:rsidR="00C71E52" w:rsidRDefault="009E5AE4">
            <w:r>
              <w:rPr>
                <w:sz w:val="28"/>
              </w:rPr>
              <w:t>1 и более</w:t>
            </w:r>
          </w:p>
          <w:p w14:paraId="7C7FD18D" w14:textId="77777777" w:rsidR="00C71E52" w:rsidRDefault="009E5AE4">
            <w:r>
              <w:rPr>
                <w:sz w:val="28"/>
              </w:rPr>
              <w:t>0,5-0,99</w:t>
            </w:r>
          </w:p>
          <w:p w14:paraId="4E970EB9" w14:textId="77777777" w:rsidR="00C71E52" w:rsidRDefault="009E5AE4">
            <w:r>
              <w:rPr>
                <w:sz w:val="28"/>
              </w:rPr>
              <w:t>0,01-0,49</w:t>
            </w:r>
          </w:p>
        </w:tc>
        <w:tc>
          <w:tcPr>
            <w:tcW w:w="2268" w:type="dxa"/>
          </w:tcPr>
          <w:p w14:paraId="141CBCD5" w14:textId="77777777" w:rsidR="00C71E52" w:rsidRDefault="009E5AE4">
            <w:r>
              <w:rPr>
                <w:sz w:val="28"/>
              </w:rPr>
              <w:t>20</w:t>
            </w:r>
          </w:p>
          <w:p w14:paraId="2D84E0E4" w14:textId="77777777" w:rsidR="00C71E52" w:rsidRDefault="009E5AE4">
            <w:r>
              <w:rPr>
                <w:sz w:val="28"/>
              </w:rPr>
              <w:t>15</w:t>
            </w:r>
          </w:p>
          <w:p w14:paraId="5DB4566E" w14:textId="77777777" w:rsidR="00C71E52" w:rsidRDefault="009E5AE4">
            <w:r>
              <w:rPr>
                <w:sz w:val="28"/>
              </w:rPr>
              <w:t>10</w:t>
            </w:r>
          </w:p>
          <w:p w14:paraId="6A649E5D" w14:textId="77777777" w:rsidR="00C71E52" w:rsidRDefault="009E5AE4">
            <w:r>
              <w:rPr>
                <w:sz w:val="28"/>
              </w:rPr>
              <w:t>5</w:t>
            </w:r>
          </w:p>
        </w:tc>
      </w:tr>
      <w:tr w:rsidR="00C71E52" w14:paraId="329F1317" w14:textId="77777777" w:rsidTr="00DD5D8E">
        <w:trPr>
          <w:trHeight w:val="322"/>
        </w:trPr>
        <w:tc>
          <w:tcPr>
            <w:tcW w:w="12866" w:type="dxa"/>
            <w:gridSpan w:val="4"/>
          </w:tcPr>
          <w:p w14:paraId="23A6446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Высокая эффективность </w:t>
            </w:r>
          </w:p>
        </w:tc>
        <w:tc>
          <w:tcPr>
            <w:tcW w:w="2268" w:type="dxa"/>
          </w:tcPr>
          <w:p w14:paraId="3C9B7332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55-60</w:t>
            </w:r>
          </w:p>
        </w:tc>
      </w:tr>
      <w:tr w:rsidR="00C71E52" w14:paraId="30EECE62" w14:textId="77777777" w:rsidTr="00DD5D8E">
        <w:trPr>
          <w:trHeight w:val="322"/>
        </w:trPr>
        <w:tc>
          <w:tcPr>
            <w:tcW w:w="12866" w:type="dxa"/>
            <w:gridSpan w:val="4"/>
          </w:tcPr>
          <w:p w14:paraId="1BAC2F9A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Существенная эффективность </w:t>
            </w:r>
          </w:p>
        </w:tc>
        <w:tc>
          <w:tcPr>
            <w:tcW w:w="2268" w:type="dxa"/>
          </w:tcPr>
          <w:p w14:paraId="37AADD0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40-50</w:t>
            </w:r>
          </w:p>
        </w:tc>
      </w:tr>
      <w:tr w:rsidR="00C71E52" w14:paraId="5C2F86C8" w14:textId="77777777" w:rsidTr="00DD5D8E">
        <w:trPr>
          <w:trHeight w:val="322"/>
        </w:trPr>
        <w:tc>
          <w:tcPr>
            <w:tcW w:w="12866" w:type="dxa"/>
            <w:gridSpan w:val="4"/>
          </w:tcPr>
          <w:p w14:paraId="547041D8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Незначительная эффективность </w:t>
            </w:r>
          </w:p>
        </w:tc>
        <w:tc>
          <w:tcPr>
            <w:tcW w:w="2268" w:type="dxa"/>
          </w:tcPr>
          <w:p w14:paraId="719AD6CE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25-35</w:t>
            </w:r>
          </w:p>
        </w:tc>
      </w:tr>
      <w:tr w:rsidR="00C71E52" w14:paraId="460CE45B" w14:textId="77777777" w:rsidTr="00DD5D8E">
        <w:trPr>
          <w:trHeight w:val="322"/>
        </w:trPr>
        <w:tc>
          <w:tcPr>
            <w:tcW w:w="12866" w:type="dxa"/>
            <w:gridSpan w:val="4"/>
          </w:tcPr>
          <w:p w14:paraId="2652A0DE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Низкая эффективность </w:t>
            </w:r>
          </w:p>
        </w:tc>
        <w:tc>
          <w:tcPr>
            <w:tcW w:w="2268" w:type="dxa"/>
          </w:tcPr>
          <w:p w14:paraId="4AF221F0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</w:tr>
      <w:tr w:rsidR="00C71E52" w14:paraId="2FFD163D" w14:textId="77777777" w:rsidTr="00DD5D8E">
        <w:trPr>
          <w:trHeight w:val="322"/>
        </w:trPr>
        <w:tc>
          <w:tcPr>
            <w:tcW w:w="12866" w:type="dxa"/>
            <w:gridSpan w:val="4"/>
          </w:tcPr>
          <w:p w14:paraId="77A14DAC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 xml:space="preserve">Неэффективно </w:t>
            </w:r>
          </w:p>
        </w:tc>
        <w:tc>
          <w:tcPr>
            <w:tcW w:w="2268" w:type="dxa"/>
          </w:tcPr>
          <w:p w14:paraId="022DBECB" w14:textId="77777777" w:rsidR="00C71E52" w:rsidRDefault="009E5AE4">
            <w:pPr>
              <w:rPr>
                <w:sz w:val="28"/>
              </w:rPr>
            </w:pPr>
            <w:r>
              <w:rPr>
                <w:sz w:val="28"/>
              </w:rPr>
              <w:t>0-10</w:t>
            </w:r>
          </w:p>
        </w:tc>
      </w:tr>
    </w:tbl>
    <w:p w14:paraId="1B4AE740" w14:textId="77777777" w:rsidR="00C71E52" w:rsidRDefault="00C71E52">
      <w:pPr>
        <w:jc w:val="center"/>
        <w:rPr>
          <w:sz w:val="28"/>
        </w:rPr>
      </w:pPr>
    </w:p>
    <w:p w14:paraId="23963880" w14:textId="77777777" w:rsidR="00C71E52" w:rsidRDefault="00C71E52">
      <w:pPr>
        <w:pStyle w:val="3"/>
      </w:pPr>
    </w:p>
    <w:p w14:paraId="55024D75" w14:textId="77777777" w:rsidR="00C71E52" w:rsidRDefault="00C71E52">
      <w:pPr>
        <w:rPr>
          <w:sz w:val="28"/>
        </w:rPr>
      </w:pPr>
    </w:p>
    <w:sectPr w:rsidR="00C71E52" w:rsidSect="00DD5D8E">
      <w:pgSz w:w="16838" w:h="11906" w:orient="landscape"/>
      <w:pgMar w:top="851" w:right="1529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083E0" w14:textId="77777777" w:rsidR="009E5AE4" w:rsidRDefault="009E5AE4">
      <w:r>
        <w:separator/>
      </w:r>
    </w:p>
  </w:endnote>
  <w:endnote w:type="continuationSeparator" w:id="0">
    <w:p w14:paraId="009A4E50" w14:textId="77777777" w:rsidR="009E5AE4" w:rsidRDefault="009E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BE1BE" w14:textId="77777777" w:rsidR="009E5AE4" w:rsidRDefault="009E5AE4">
      <w:r>
        <w:separator/>
      </w:r>
    </w:p>
  </w:footnote>
  <w:footnote w:type="continuationSeparator" w:id="0">
    <w:p w14:paraId="39D280F6" w14:textId="77777777" w:rsidR="009E5AE4" w:rsidRDefault="009E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52"/>
    <w:rsid w:val="009E5AE4"/>
    <w:rsid w:val="00C71E52"/>
    <w:rsid w:val="00D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78B8"/>
  <w15:docId w15:val="{1E8C24DA-BBA3-4A69-8395-07D1365E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link w:val="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No Spacing"/>
    <w:basedOn w:val="a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outlineLvl w:val="0"/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/>
      <w:contextualSpacing/>
      <w:outlineLvl w:val="0"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2</cp:revision>
  <dcterms:created xsi:type="dcterms:W3CDTF">2023-02-20T13:41:00Z</dcterms:created>
  <dcterms:modified xsi:type="dcterms:W3CDTF">2023-02-20T13:41:00Z</dcterms:modified>
</cp:coreProperties>
</file>